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3500" w:type="dxa"/>
            <w:vAlign w:val="top"/>
          </w:tcPr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УТВЕРЖДЕН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приказом Министерства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труда и социальной защиты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Российской Федерации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от 14 ноября 2016 № 646н </w:t>
            </w:r>
          </w:p>
        </w:tc>
      </w:tr>
    </w:tbl>
    <w:p>
      <w:pPr>
        <w:pStyle w:val="pH1Style"/>
      </w:pPr>
      <w:r>
        <w:rPr>
          <w:rStyle w:val="rH1Style"/>
        </w:rPr>
        <w:t xml:space="preserve">ПРОФЕССИОНАЛЬНЫЙ СТАНДАРТ</w:t>
      </w:r>
    </w:p>
    <w:p>
      <w:pPr>
        <w:pStyle w:val="pTitleStyle"/>
      </w:pPr>
      <w:r>
        <w:rPr>
          <w:rStyle w:val="rTitleStyle"/>
        </w:rPr>
        <w:t xml:space="preserve">Специалист по потребительскому кредитованию</w:t>
      </w:r>
    </w:p>
    <w:tbl>
      <w:tblGrid>
        <w:gridCol w:w="2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2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454</w:t>
            </w:r>
          </w:p>
        </w:tc>
      </w:tr>
      <w:tr>
        <w:trPr/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</w:t>
            </w:r>
          </w:p>
        </w:tc>
      </w:tr>
    </w:tbl>
    <w:p>
      <w:pPr>
        <w:pStyle w:val="pTextStyleCenter"/>
      </w:pPr>
      <w:r>
        <w:rPr/>
        <w:t xml:space="preserve"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I. Общие сведения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t>III. Характеристика обобщенных трудовых функций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" w:history="1">
        <w:r>
          <w:t>3.1. Обобщенная трудовая функция «Проведение комплекса мероприятий для определения целесообразности предоставления потенциальному заемщику потребительского кредита»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t>3.2. Обобщенная трудовая функция «Контроль исполнения обязательств по договорам потребительского кредита и мониторинг качества потребительских кредитов»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6" w:history="1">
        <w:r>
          <w:t>3.3. Обобщенная трудовая функция «Организация эффективной деятельности подразделения, осуществляющего потребительское кредитование»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7" w:history="1">
        <w:r>
          <w:t>IV. Сведения об организациях – разработчиках профессионального стандарта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r>
        <w:fldChar w:fldCharType="end"/>
      </w:r>
    </w:p>
    <w:p>
      <w:pPr>
        <w:pStyle w:val="Heading1"/>
      </w:pPr>
      <w:bookmarkStart w:id="8" w:name="_Toc1"/>
      <w:r>
        <w:t>I. Общие сведения</w:t>
      </w:r>
      <w:bookmarkEnd w:id="8"/>
    </w:p>
    <w:tbl>
      <w:tblGrid>
        <w:gridCol w:w="8500" w:type="dxa"/>
        <w:gridCol w:w="500" w:type="dxa"/>
        <w:gridCol w:w="2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8500" w:type="dxa"/>
            <w:vAlign w:val="top"/>
            <w:tcBorders>
              <w:bottom w:val="single" w:sz="10" w:color="#808080"/>
            </w:tcBorders>
          </w:tcPr>
          <w:p>
            <w:pPr>
              <w:pStyle w:val="pTextStyle"/>
            </w:pPr>
            <w:r>
              <w:rPr/>
              <w:t xml:space="preserve">Предоставление потребительских кредитов</w:t>
            </w:r>
          </w:p>
        </w:tc>
        <w:tc>
          <w:tcPr>
            <w:tcW w:w="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08.019</w:t>
            </w:r>
          </w:p>
        </w:tc>
      </w:tr>
      <w:tr>
        <w:trPr/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(наименование вида профессиональной деятельности)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</w:tr>
    </w:tbl>
    <w:p>
      <w:pPr>
        <w:pStyle w:val="pTitleStyleLeft"/>
      </w:pPr>
      <w:r>
        <w:rPr/>
        <w:t xml:space="preserve">Основная цель вида профессиональной деятельности:</w:t>
      </w:r>
    </w:p>
    <w:tbl>
      <w:tblGrid>
        <w:gridCol w:w="11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Предоставление банковских услуг физическим лицам на основании договора потребительского кредита</w:t>
            </w:r>
          </w:p>
        </w:tc>
      </w:tr>
    </w:tbl>
    <w:p>
      <w:pPr>
        <w:pStyle w:val="pTitleStyleLeft"/>
      </w:pPr>
      <w:r>
        <w:rPr/>
        <w:t xml:space="preserve">Группа занятий:</w:t>
      </w:r>
    </w:p>
    <w:tbl>
      <w:tblGrid>
        <w:gridCol w:w="1500" w:type="dxa"/>
        <w:gridCol w:w="4000" w:type="dxa"/>
        <w:gridCol w:w="1500" w:type="dxa"/>
        <w:gridCol w:w="4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1346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Руководители служб и подразделений в сфере финансовой деятельности и страхования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2631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Экономисты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3312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Кредитные агенты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-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</w:tr>
    </w:tbl>
    <w:p>
      <w:pPr>
        <w:pStyle w:val="pTitleStyleLeft"/>
      </w:pPr>
      <w:r>
        <w:rPr/>
        <w:t xml:space="preserve">Отнесение к видам экономической деятельности:</w:t>
      </w:r>
    </w:p>
    <w:tbl>
      <w:tblGrid>
        <w:gridCol w:w="1500" w:type="dxa"/>
        <w:gridCol w:w="9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64.92.1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по предоставлению потребительского кредита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ОКВЭД)</w:t>
            </w:r>
          </w:p>
        </w:tc>
        <w:tc>
          <w:tcPr>
            <w:tcW w:w="9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sectPr>
          <w:pgSz w:orient="portrait" w:w="11905.511811023622" w:h="16837.79527559055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9" w:name="_Toc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9"/>
    </w:p>
    <w:tbl>
      <w:tblGrid>
        <w:gridCol w:w="500" w:type="dxa"/>
        <w:gridCol w:w="4000" w:type="dxa"/>
        <w:gridCol w:w="1500" w:type="dxa"/>
        <w:gridCol w:w="7000" w:type="dxa"/>
        <w:gridCol w:w="1500" w:type="dxa"/>
        <w:gridCol w:w="15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6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Обобщенные трудовые функции</w:t>
            </w:r>
          </w:p>
        </w:tc>
        <w:tc>
          <w:tcPr>
            <w:tcW w:w="10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Трудовые функции</w:t>
            </w:r>
          </w:p>
        </w:tc>
      </w:tr>
      <w:tr>
        <w:trPr/>
        <w:tc>
          <w:tcPr>
            <w:tcW w:w="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4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квалификации</w:t>
            </w:r>
          </w:p>
        </w:tc>
        <w:tc>
          <w:tcPr>
            <w:tcW w:w="7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(подуровень) квалификации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Проведение комплекса мероприятий для определения целесообразности предоставления потенциальному заемщику потребительского кредита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5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Оказание информационно-консультационных услуг клиенту по вопросам предоставления потребительского кредит и выбора кредитной программы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A/01.5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Анализ кредитоспособности клиента и подготовка решения о целесообразности выдачи потребительского кредита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A/02.5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Заключение договора потребительского кредита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A/03.5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Контроль исполнения обязательств по договорам потребительского кредита и мониторинг качества потребительских кредитов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5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Взаимодействие с заемщиком по вопросам обслуживания потребительского кредита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B/01.5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Проведение мероприятий по предупреждению и урегулированию просроченной задолженности заемщика по договору потребительского кредита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Мониторинг качества потребительских кредитов и корректировка резерва на возможные потери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B/03.5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Организация эффективной деятельности подразделения, осуществляющего потребительское кредитование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работы персонала, осуществляющего функции потребительского кредитования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мероприятий по повышению эффективности потребительского кредитования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>
        <w:sectPr>
          <w:pgSz w:orient="landscape" w:w="16837.79527559055" w:h="11905.511811023622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10" w:name="_Toc3"/>
      <w:r>
        <w:t>III. Характеристика обобщенных трудовых функций</w:t>
      </w:r>
      <w:bookmarkEnd w:id="10"/>
    </w:p>
    <w:p>
      <w:pPr>
        <w:pStyle w:val="Heading2"/>
      </w:pPr>
      <w:bookmarkStart w:id="11" w:name="_Toc4"/>
      <w:r>
        <w:t>3.1. Обобщенная трудовая функция «Проведение комплекса мероприятий для определения целесообразности предоставления потенциальному заемщику потребительского кредита»</w:t>
      </w:r>
      <w:bookmarkEnd w:id="11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Проведение комплекса мероприятий для определения целесообразности предоставления потенциальному заемщику потребительского кредита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Специалист по потребительскому кредитованию</w:t>
            </w:r>
          </w:p>
          <w:p>
            <w:pPr>
              <w:pStyle w:val="pTextStyle"/>
            </w:pPr>
            <w:r>
              <w:rPr/>
              <w:t xml:space="preserve">Специалист по обслуживанию и продажам/менеджер по продажам</w:t>
            </w:r>
          </w:p>
          <w:p>
            <w:pPr>
              <w:pStyle w:val="pTextStyle"/>
            </w:pPr>
            <w:r>
              <w:rPr/>
              <w:t xml:space="preserve">Кредитный менеджер</w:t>
            </w:r>
          </w:p>
          <w:p>
            <w:pPr>
              <w:pStyle w:val="pTextStyle"/>
            </w:pPr>
            <w:r>
              <w:rPr/>
              <w:t xml:space="preserve">Кредитный консультант</w:t>
            </w:r>
          </w:p>
          <w:p>
            <w:pPr>
              <w:pStyle w:val="pTextStyle"/>
            </w:pPr>
            <w:r>
              <w:rPr/>
              <w:t xml:space="preserve">Кредитный работник</w:t>
            </w:r>
          </w:p>
          <w:p>
            <w:pPr>
              <w:pStyle w:val="pTextStyle"/>
            </w:pPr>
            <w:r>
              <w:rPr/>
              <w:t xml:space="preserve">Специалист по андеррайтингу</w:t>
            </w:r>
          </w:p>
          <w:p>
            <w:pPr>
              <w:pStyle w:val="pTextStyle"/>
            </w:pPr>
            <w:r>
              <w:rPr/>
              <w:t xml:space="preserve">Экономист по кредитной работе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Среднее профессиональное образование - программы подготовки специалистов среднего звена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Опыт работы в области продаж, обслуживания и консультирования физических лиц не менее полугода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3312.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Кредитные агенты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26541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080108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Банковское дело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Оказание информационно-консультационных услуг клиенту по вопросам предоставления потребительского кредит и выбора кредитной программы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A/01.5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454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Выявление потребностей клиента в кредитном продукте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Оказание помощи клиенту в выборе кредитного продукта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клиента о банке, его услугах, программах потребительского кредитования и сроках рассмотрения кредитной заявки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клиента о полной стоимости потребительского кредита, о перечне платежей, входящих в ее расчет в соответствии с законодательством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клиента по вопросам предоставления кредита и обеспечения возвратности кредита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клиента о финансовых рисках и последствиях нарушения условий договора потребительского кредита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в специализированных аппаратно-программных комплексах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справочно-правовые системы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Предлагать клиентам кредитные программы в соответствии с их целями и финансовыми возможностями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Оказывать помощь в подборе оптимального варианта потребительского кредита в соответствии с потребностями и финансовым положением клиента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Рассчитывать предварительный график платежей по потребительскому кредиту в целях консультирования клиентов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Доступно излагать условия кредитования с целью избежания двусмысленности или возможного недопонимая заемщиками, не обладающими специальными знаниями в банковской сфере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потребительском кредите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по вопросам банкротства физических лиц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защите прав потребителей, в том числе потребителей финансовых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бюро кредитных историй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Государственные программы льготного потребительского кредитования населения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и методические документы по вопросам потребительского кредитования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Кодекс ответственного потребительского кредитования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Риски заемщика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делового общения с клиентами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Общие вопросы обеспечения информационной безопасности банка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Анализ кредитоспособности клиента и подготовка решения о целесообразности выдачи потребительского кредита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A/02.5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454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Сбор документов и информации о потенциальном заемщике из различных источников для проведения анализа его кредитоспособности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Документальное оформление согласия клиента на обработку персональных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документов, необходимых для идентификации заемщика, включая проверку их подлинности и действительности, фиксирование сведений в соответствии с требованиями идентификации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кредитоспособности клиента - физического лица с учетом влияния реалистичных сценариев изменения процентных ставок и курсов иностранных валют на размер будущих платежей заемщика и в соответствии с утвержденными в банке процедурами оценки кредитоспособности заемщика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категории качества запрошенного потребительского кредита и размера резерва на возможные потери по нему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порядка погашения потребительского кредита, составление предварительного графика платежей с учетом финансовых возможностей потенциального заемщика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заключения о целесообразности выдачи потребительского кредита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Сообщение клиенту о принятом решении по его кредитной заявке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 направление в бюро кредитных историй необходимой информации о принятом по кредитной заявке решении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специализированные аппаратно-программные комплексы в профессиональной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данные из множественных источников и оценивать качество и достоверность предоставленной информации по явным и неявным признакам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различные методы оценки кредитоспособности физических лиц с использованием лучших практик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кредитные риски по потребительскому кредиту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качество обеспечения по потребительскому кредиту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документацию о целесообразности выдачи потребительского кредита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Делать выводы по результатам анализа данных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противодействии легализации (отмыванию) доходов, полученных преступным путем, и финансированию терроризма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персональных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Перечень информации и документов, необходимых для определения кредитоспособности физического лица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методы оценки кредитоспособности заемщика - физического лица, применяемые в российских и зарубежных банках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документы Банка России об идентификации клиентов и внутреннем контроле (аудите)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определения платежеспособности физического лица и максимальной суммы предоставляемого потребительского кредита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установления процентной ставки по потребительскому кредиту с учетом среднерыночного значения полной стоимости потребительского кредита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Рекомендации Ассоциации региональных банков России по вопросам определения кредитоспособности заемщиков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и методические документы, касающиеся оценки кредитоспособности физических лиц при предоставлении потребительских кредитов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Нормативная правовая база и внутренние документы банка, регулирующие порядок формирования кредитными организациями резервов на возможные потери по ссудам, ссудной и приравненной к ней задолженности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взаимодействия с бюро кредитных историй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Заключение договора потребительского кредита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A/03.5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454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комплектности, сроков действия, соответствия форм, полноты и правильности заполнения документов, необходимых для подписания договора потребительского кредита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Разъяснение заемщику структуры договора потребительского кредита, его общих и индивидуальных условий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заемщика о способах и порядке погашения кредита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(оформление) договора потребительского кредита и договоров, обеспечивающих выполнение по нему обязательств заемщика (договор залога, договор поручительства)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 передача в бухгалтерию распоряжения на предоставление денежных средств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кредитного досье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Согласованию с заемщиком графика платежей, являющегося приложением к кредитному договору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Внесение в базу данных, ведущуюся в банке по заемщикам, первичной информации по заключаемым кредитным договорам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специализированные аппаратно-программные комплексы в профессиональной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кредитную документацию и кредитное досье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Разъяснять положения договора потребительского кредита в доступной форме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потребительском кредите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защите прав потребителей, в том числе потребителей финансовых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залогах и поручительстве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делового общения с клиентами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отражения в бухгалтерском учете операций по предоставлению потребительских кредитов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оформления выдачи кредита, в том числе путем открытия кредитной линии с лимитом задолженности и с лимитом выдачи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12" w:name="_Toc5"/>
      <w:r>
        <w:t>3.2. Обобщенная трудовая функция «Контроль исполнения обязательств по договорам потребительского кредита и мониторинг качества потребительских кредитов»</w:t>
      </w:r>
      <w:bookmarkEnd w:id="12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Контроль исполнения обязательств по договорам потребительского кредита и мониторинг качества потребительских кредитов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Специалист по потребительскому кредитованию</w:t>
            </w:r>
          </w:p>
          <w:p>
            <w:pPr>
              <w:pStyle w:val="pTextStyle"/>
            </w:pPr>
            <w:r>
              <w:rPr/>
              <w:t xml:space="preserve">Специалист по обслуживанию и продажам/менеджер по продажам</w:t>
            </w:r>
          </w:p>
          <w:p>
            <w:pPr>
              <w:pStyle w:val="pTextStyle"/>
            </w:pPr>
            <w:r>
              <w:rPr/>
              <w:t xml:space="preserve">Кредитный менеджер</w:t>
            </w:r>
          </w:p>
          <w:p>
            <w:pPr>
              <w:pStyle w:val="pTextStyle"/>
            </w:pPr>
            <w:r>
              <w:rPr/>
              <w:t xml:space="preserve">Кредитный консультант</w:t>
            </w:r>
          </w:p>
          <w:p>
            <w:pPr>
              <w:pStyle w:val="pTextStyle"/>
            </w:pPr>
            <w:r>
              <w:rPr/>
              <w:t xml:space="preserve">Кредитный работник</w:t>
            </w:r>
          </w:p>
          <w:p>
            <w:pPr>
              <w:pStyle w:val="pTextStyle"/>
            </w:pPr>
            <w:r>
              <w:rPr/>
              <w:t xml:space="preserve">Специалист по андеррайтингу</w:t>
            </w:r>
          </w:p>
          <w:p>
            <w:pPr>
              <w:pStyle w:val="pTextStyle"/>
            </w:pPr>
            <w:r>
              <w:rPr/>
              <w:t xml:space="preserve">Экономист по кредитной работе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Среднее профессиональное образование - программы подготовки специалистов среднего звена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Опыт работы в области продаж, обслуживания и консультирования физических лиц не менее полугода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3312.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Кредитные агенты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26541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080108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Банковское дело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Взаимодействие с заемщиком по вопросам обслуживания потребительского кредита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B/01.5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454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Консультирование клиентов по вопросам, возникающим в ходе обслуживания долга по потребительскому кредиту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электронной базы данных по портфелю потребительских кредитов в специализированных аппаратно-программных комплексах банка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Уведомление клиентов о сроках погашения кредита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 предоставление заемщикам выписок об остатках задолженности по потребительскому кредиту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нового графика погашения потребительского кредита при досрочном погашении части задолженности по потребительскому кредиту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Мониторинг использования заемщиками лимитов кредитования по кредитным картам, осуществление корректировки сумм установленных лимитов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Рассмотрение заявлений заемщиков в нестандартных ситуациях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в специализированных аппаратно-программных комплексах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Разъяснять изменения в законодательстве Российской Федерации по потребительскому кредиту, в общих условиях договора потребительского кредита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выписки по лицевым счетам заемщиков и разъяснять им содержащиеся в выписках данные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Урегулировать спорные вопросы с заемщиком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потребительском кредите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и методические документы по вопросам обслуживания потребительского кредитования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Условия предоставления потребительских кредитов в рамках имеющихся в банке программ кредитования, в том числе кредитов, предоставляемых открытием кредитной линии и кредитованием банковского счета («овердрафт»)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отражения в бухгалтерском учете операций по потребительскому кредитованию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Бизнес-культура потребительского кредитования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Проведение мероприятий по предупреждению и урегулированию просроченной задолженности заемщика по договору потребительского кредита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454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Прогнозирование появления проблемных кредитов на ранней стадии для оперативного реагирования на ситуацию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причин возникновения просроченной задолженности по потребительским кредитам для разработки совместно с заемщиками мер по ее уменьшению и погашению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заемщика о наличии просроченной задолженности, начислении повышенных процентов, штрафах, пени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Разъяснение заемщику очередности погашения просроченной задолженности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реструктуризации просроченной задолженности по потребительскому кредиту и разъяснение заемщику условий ее проведения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информации о наличии проблемной задолженности по договорам потребительского кредита и доведение ее до руководства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плана мероприятий по работе с заемщиками, допустившими просроченную задолженность по потребительскому кредиту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Передача кредитных досье по договорам потребительского кредита в подразделение банка, занимающиеся принудительным взысканием проблемной задолженности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статистический анализ потребительских кредитов в специализированных аппаратно-программных комплексах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выписки по лицевым счетам заемщиков и разъяснять им содержащиеся в выписках данные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причины просроченной задолженности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Разрабатывать, внедрять, контролировать и оценивать мероприятия по предупреждению и урегулированию просроченной задолженности заемщика по договору потребительского кредита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Рассчитывать основные параметры реструктуризации и рефинансирования потребительского кредита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мероприятия по реструктуризации задолженности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Критерии определения проблемного кредита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и процедуры истребования просроченной задолженности по потребительским кредитам на ранней стадии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мониторинга и анализа показателей качества и эффективности истребования просроченной и проблемной задолженности по потребительским кредитам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и методические документы, касающиеся реструктуризации и рефинансирования задолженности физических лиц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Мониторинг качества потребительских кредитов и корректировка резерва на возможные потери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B/03.5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454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информации о заемщиках, по которым имеется просроченная/проблемная задолженность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кредитного риска по портфелю потребительских кредитов в целом и в разрезе отдельных типовых программ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комплексного анализа качества потребительских кредитов с позиции кредитного риска, доходности и ликвидности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портфелей однородных ссуд и регулярное уточнение их состава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Корректировка резерва на возможные потери по потребительским кредитам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и корректировка резервов под условные обязательства кредитного характера, связанные с предоставлением потребительских кредитов (неиспользованные кредитные линии, неиспользованные лимиты по предоставлению средств кредитованием банковского счета («овердрафт»))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и корректировка резервов по начисленным и неуплаченным процентам по предоставленным потребительским кредитам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контроля сохранности и качества обеспечения по потребительским кредитам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в специализированных аппаратно-программных комплексах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 оценке кредитного портфеля винтажный анализ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специализированные программы для анализа потребительских кредитов в зависимости от целей исследования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кредитные, процентные и валютные риски по потребительским кредитам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категории качества потребительских кредитов с учетом финансового положения заемщика и качества обслуживания долга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и корректировать размеры формируемых резервов по потребительским кредитам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документы Банка России и внутренние документы банка о порядке формирования кредитными организациями резервов на возможные потери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формирования банком резервов на возможные потери по предоставленным потребительским кредитам, резервов по неиспользованным кредитным линиям и неиспользованным лимитам по предоставлению средств путем кредитования банковских счетов физических лиц, а также резервов на возможные потери по начисленным и неуплаченным процентам по потребительским кредитам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бухгалтерского учета операций по потребительскому кредитованию в кредитных организациях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Внутренние документы банка, регламентирующие порядок бухгалтерского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Признаки однородности ссуд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проведения мониторинга качества потребительских кредитов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и методические документы, касающиеся реструктуризации и рефинансирования задолженности физических лиц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13" w:name="_Toc6"/>
      <w:r>
        <w:t>3.3. Обобщенная трудовая функция «Организация эффективной деятельности подразделения, осуществляющего потребительское кредитование»</w:t>
      </w:r>
      <w:bookmarkEnd w:id="13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эффективной деятельности подразделения, осуществляющего потребительское кредитование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Главный специалист / руководитель кредитного отдела</w:t>
            </w:r>
          </w:p>
          <w:p>
            <w:pPr>
              <w:pStyle w:val="pTextStyle"/>
            </w:pPr>
            <w:r>
              <w:rPr/>
              <w:t xml:space="preserve">Начальник дополнительного офиса</w:t>
            </w:r>
          </w:p>
          <w:p>
            <w:pPr>
              <w:pStyle w:val="pTextStyle"/>
            </w:pPr>
            <w:r>
              <w:rPr/>
              <w:t xml:space="preserve">Главный специалист / начальник группы сопровождения потребительских кредитов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бакалавриат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Опыт работы по профилю деятельности не менее двух лет или стаж работы в финансово-кредитной работе не менее трех лет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1346.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Руководители служб и подразделений в сфере финансовой деятельности и страхования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2631.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Экономисты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Аналитик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26541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Финансы и кредит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080109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Бухгалтерский учет, анализ и аудит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работы персонала, осуществляющего функции потребительского кредитования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454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должностных инструкций специалистов, осуществляющих потребительское кредитование, разработка текущих и перспективных планов работы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соблюдения персоналом правил кредитования с учетом современной правовой базы и требований внутренних нормативных документов банка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комплектования рабочих мест сотрудников кредитного подразделения необходимыми документами, техническими средствами и программными продуктами с учетом требований безопасности и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текущих и перспективных планов работы подразделения и контроль их выполнения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Выявление потребности в обучении персонала, подача соответствующих заявок руководству и оценка эффективности обучения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контроля полноты и своевременности формирования резервов на возможные потери по предоставленным потребительским кредитам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работы по решению спорных вопросов и конфликтных ситуаций, связанных с потребительским кредитованием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информации по потребительскому кредитованию для включения в банковскую отчетность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Взаимодействие с другими подразделениями и службами банка по вопросам заключения и сопровождения договоров потребительского кредита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в специализированных аппаратно-программных комплексах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и контролировать деятельность подчиненного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работу подразделения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эффективный порядок работы по рассмотрению претензий и жалоб заемщиков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взаимодействие с подразделениями банка в целях своевременного и качественного обслуживания заемщика - физического лица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потребительском кредите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и методические документы, касающиеся вопросов организации потребительского кредитования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Политика кредитной организации по потребительскому кредитованию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мероприятий по повышению эффективности потребительского кредитования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454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Систематическое изучение конкурентной позиции кредитной организации на рынке потребительского кредитования для внесения предложений по совершенствованию условий потребительского кредитования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предложений по совершенствованию бизнес-процессов в сфере потребительского кредитования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Мониторинг и контроль соблюдения персоналом в офисах банка стандартов поведения и взаимодействия с заемщиками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Выявление устойчивых высокорискованных и низкорискованных сегментов заемщиков для внесения соответствующих предложений в кредитную политику банка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Обучение персонала лучшим практикам в области потребительского кредитования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мероприятий по досудебному взысканию просроченной задолженности по потребительским кредитам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в специализированных аппаратно-программных комплексах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Рассчитывать эффективность деятельности подразделения потребительского кредитования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мониторинг ценовых и неценовых условий потребительского кредитования в банках-конкурентах и делать выводы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о потребительском кредите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документы Банка России о порядке формирования кредитными организациями резервов на возможные потери по ссудам, по ссудной и приравненной к ней задолженности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Методология мониторинга и анализа показателей качества задолженности по потребительским кредитам и эффективности истребования просроченной и проблемной задолженности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Способы повышения эффективности деятельности персонала банка на различных этапах процесса потребительского кредитования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расчета эффективности финансовой деятельности подразделения, осуществляющего потребительское кредитование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анализа конкуренции на рынке потребительского кредитования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клиентоориентированного подхода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и методические документы, касающиеся вопросов реструктуризации задолженности физических лиц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rStyle w:val="rTitleStyle"/>
        </w:rPr>
        <w:t xml:space="preserve"> </w:t>
      </w:r>
    </w:p>
    <w:p>
      <w:pPr>
        <w:pStyle w:val="Heading1"/>
      </w:pPr>
      <w:bookmarkStart w:id="14" w:name="_Toc7"/>
      <w:r>
        <w:t>IV. Сведения об организациях – разработчиках профессионального стандарта</w:t>
      </w:r>
      <w:bookmarkEnd w:id="14"/>
    </w:p>
    <w:p>
      <w:pPr>
        <w:pStyle w:val="pTitleStyleLeft"/>
      </w:pPr>
      <w:r>
        <w:rPr>
          <w:b w:val="1"/>
          <w:bCs w:val="1"/>
        </w:rPr>
        <w:t xml:space="preserve">4.1. Ответственная организация-разработчик</w:t>
      </w:r>
    </w:p>
    <w:tbl>
      <w:tblGrid>
        <w:gridCol w:w="50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tcBorders>
              <w:top w:val="single" w:sz="5" w:color="#808080"/>
              <w:left w:val="single" w:sz="5" w:color="#808080"/>
              <w:right w:val="single" w:sz="5" w:color="#808080"/>
            </w:tcBorders>
            <w:gridSpan w:val="2"/>
          </w:tcPr>
          <w:p>
            <w:pPr>
              <w:pStyle w:val="pTextStyle"/>
            </w:pPr>
            <w:r>
              <w:rPr/>
              <w:t xml:space="preserve">Российский союз промышленников и предпринимателей (РСПП (ООР)), город Москва</w:t>
            </w:r>
          </w:p>
        </w:tc>
      </w:tr>
      <w:tr>
        <w:trPr/>
        <w:tc>
          <w:tcPr>
            <w:tcW w:w="5000" w:type="dxa"/>
            <w:tcBorders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Исполнительный вице-президент</w:t>
            </w:r>
          </w:p>
        </w:tc>
        <w:tc>
          <w:tcPr>
            <w:tcW w:w="6000" w:type="dxa"/>
            <w:tcBorders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Кузьмин Дмитрий Владимирович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4.2. Наименования организаций-разработчиков</w:t>
      </w:r>
    </w:p>
    <w:tbl>
      <w:tblGrid>
        <w:gridCol w:w="700" w:type="dxa"/>
        <w:gridCol w:w="103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ФГОБУ ВО «Финансовый университет при Правительстве Российской Федерации (Финансовый университет)», город Москва</w:t>
            </w:r>
          </w:p>
        </w:tc>
      </w:tr>
    </w:tbl>
    <w:sectPr>
      <w:pgSz w:orient="portrait" w:w="11905.511811023622" w:h="16837.79527559055"/>
      <w:pgMar w:top="755.90551181102364" w:right="578.26771653543301" w:bottom="1440" w:left="755.9055118110236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H1Style"/>
    <w:rPr>
      <w:lang w:val="ru-RU"/>
      <w:sz w:val="52"/>
      <w:szCs w:val="52"/>
      <w:b w:val="0"/>
      <w:bCs w:val="0"/>
    </w:rPr>
  </w:style>
  <w:style w:type="paragraph" w:customStyle="1" w:styleId="pH1Style">
    <w:name w:val="pH1Style"/>
    <w:basedOn w:val="Normal"/>
    <w:pPr>
      <w:jc w:val="center"/>
      <w:spacing w:before="200" w:after="50"/>
    </w:pPr>
  </w:style>
  <w:style w:type="character">
    <w:name w:val="rTitleStyle"/>
    <w:rPr>
      <w:lang w:val="ru-RU"/>
      <w:sz w:val="28"/>
      <w:szCs w:val="28"/>
      <w:b w:val="1"/>
      <w:bCs w:val="1"/>
      <w:spacing w:val="16"/>
    </w:rPr>
  </w:style>
  <w:style w:type="paragraph" w:customStyle="1" w:styleId="pTitleStyle">
    <w:name w:val="pTitleStyle"/>
    <w:basedOn w:val="Normal"/>
    <w:pPr>
      <w:jc w:val="center"/>
      <w:spacing w:after="100" w:line="254" w:lineRule="auto"/>
    </w:pPr>
  </w:style>
  <w:style w:type="paragraph" w:customStyle="1" w:styleId="pTitleStyleLeft">
    <w:name w:val="pTitleStyleLeft"/>
    <w:basedOn w:val="Normal"/>
    <w:pPr>
      <w:spacing w:before="300" w:after="250" w:line="256" w:lineRule="auto"/>
    </w:pPr>
  </w:style>
  <w:style w:type="character">
    <w:name w:val="rTextStyle"/>
    <w:rPr>
      <w:lang w:val="ru-RU"/>
      <w:sz w:val="24"/>
      <w:szCs w:val="24"/>
      <w:b w:val="0"/>
      <w:bCs w:val="0"/>
    </w:rPr>
  </w:style>
  <w:style w:type="paragraph" w:customStyle="1" w:styleId="pTextStyle">
    <w:name w:val="pTextStyle"/>
    <w:basedOn w:val="Normal"/>
    <w:pPr>
      <w:jc w:val="left"/>
      <w:spacing w:before="0" w:after="0" w:line="250" w:lineRule="auto"/>
    </w:pPr>
  </w:style>
  <w:style w:type="paragraph" w:customStyle="1" w:styleId="pTextStyleCenter">
    <w:name w:val="pTextStyleCenter"/>
    <w:basedOn w:val="Normal"/>
    <w:pPr>
      <w:jc w:val="center"/>
      <w:spacing w:before="0" w:after="0" w:line="252" w:lineRule="auto"/>
    </w:pPr>
  </w:style>
  <w:style w:type="paragraph" w:customStyle="1" w:styleId="pDescStyleCenter">
    <w:name w:val="pDescStyleCenter"/>
    <w:basedOn w:val="Normal"/>
    <w:pPr>
      <w:jc w:val="center"/>
      <w:spacing w:before="0" w:after="0" w:line="250" w:lineRule="auto"/>
    </w:pPr>
  </w:style>
  <w:style w:type="paragraph" w:customStyle="1" w:styleId="pTextStyleRight">
    <w:name w:val="pTextStyleRight"/>
    <w:basedOn w:val="Normal"/>
    <w:pPr>
      <w:jc w:val="right"/>
      <w:spacing w:before="0" w:after="0" w:line="252" w:lineRule="auto"/>
    </w:pPr>
  </w:style>
  <w:style w:type="paragraph" w:styleId="Heading1">
    <w:link w:val="Heading1Char"/>
    <w:name w:val="heading 1"/>
    <w:basedOn w:val="Normal"/>
    <w:pPr>
      <w:jc w:val="left"/>
      <w:spacing w:before="100" w:after="100"/>
    </w:pPr>
    <w:rPr>
      <w:lang w:val="ru-RU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>
      <w:jc w:val="left"/>
      <w:spacing w:before="100" w:after="100"/>
    </w:pPr>
    <w:rPr>
      <w:lang w:val="ru-RU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2022-01-22T18:38:22+03:00</dcterms:created>
  <dcterms:modified xsi:type="dcterms:W3CDTF">2022-01-22T18:38:22+03:00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