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11 декабря 2014 № 1026н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Аппаратчик приготовления химических растворов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«Обслуживание аппаратов для приготовления химических растворов»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«Ведение подготовительных работ при приготовлении химических растворов»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«Ведение процесса приготовления одно-, двухкомпонентных химических растворов»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7" w:history="1">
        <w:r>
          <w:t>3.4. Обобщенная трудовая функция «Ведение процесса приготовления многокомпонентных химических растворов»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8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_Toc8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Приготовление химических растворов в открытых и закрытых аппаратах с мешалками различных типов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23.001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Получение химических растворов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20.59.5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Производство прочих химических продуктов, не включенных в другие группировки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Обслуживание аппаратов для приготовления химических растворов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2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Техническое обслуживание механических узлов аппаратов для приготовления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Выполнение вспомогательных работ при ремонте узлов аппаратов для приготовления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Выполнение вспомогательных работ при наладке узлов аппаратов для приготовления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подготовительных работ при приготовлении химических растворов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2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химикатов к растворению в аппаратах для приготовления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аппаратов для приготовления химических растворов к работе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процесса приготовления одно-, двухкомпонентных химических растворов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3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Растворение химикатов в аппаратах для приготовления одно-, двухкомпонентных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Очистка химических растворов декантацией после отстаивания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Очистка химических растворов фильтрацией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приготовления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качества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C/05.3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процесса приготовления многокомпонентных химических растворов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4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Растворение химикатов в аппаратах для приготовления многокомпонентных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D/01.4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Очистка многокомпонентных химических растворов декантацией после отстаивания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D/02.4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Очистка многокомпонентных химических растворов фильтрацией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D/03.4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приготовления многокомпонентных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D/04.4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качества многокомпонентных химических растворов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D/05.4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«Обслуживание аппаратов для приготовления химических растворов»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Обслуживание аппаратов для приготовления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2-го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 при работе на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Аппаратчики, операторы и машинисты установок по переработке химического и нефтехимического сырья, не вошедшие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2-го разряда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Техническое обслуживание механических узлов аппаратов для приготовления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Очистка деталей и узлов аппаратов для приготовления химических растворов от загрязнений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Смазывание специальными смазочными маслами деталей и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Периодическая замена смазочного масла в редукторах приводов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Замена быстроизнашивающихся материалов и деталей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механическими узлами, предназначенными для технического обслуживания аппаратов для приготовления химических растворов,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Очищать детали и узлы аппаратов для приготовления химических растворов в соответствии с инструкцией по техническому обслуживанию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Разбирать и собирать механические узлы аппаратов для приготовления химических растворов с соблюдением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Заменять быстроизнашивающиеся материалы и детали аппаратов для приготовления химических растворов в соответствии с инструкцией по техническому обслуживанию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Смазывать специальными смазочными маслами детали и узлы аппаратов для приготовления химических растворов в соответствии с утвержденной схемой смазки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специальные инструменты для смазывания деталей и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 и поражении электрическим током при техническом обслуживании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механических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механических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Инструкции по техническому обслуживанию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Безопасные приемы и методы работы при техническом обслуживании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 и поражении электрическим током при техническом обслуживании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техническом обслуживании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вспомогательных работ при ремонте узлов аппаратов для приготовления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Разборка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вспомогательных операций по замене вышедших из строя деталей и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Сборка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Запуск после ремонта аппаратов для приготовления химических растворов под руководством аппаратчика 3-го, 4-го уровня квалификации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ремонтируемыми узлами аппаратов для приготовления химических растворов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Разбирать и собирать ремонтируемые узлы аппаратов для приготовления химических растворов с соблюдением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Запускать после ремонта аппараты для приготовления химических растворов под руководством аппаратчика 3-го, 4-го уровня квалификации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 и поражении электрическим током при ремонте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ремонтируемых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ремонтируемых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Безопасные приемы и методы работы при ремонте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Инструкция по запуску аппаратов для приготовления химических растворов после проведения ремонта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 и поражении электрическим током при ремонте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ремонте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Выполнение вспомогательных работ при наладке узлов аппаратов для приготовления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отдельных операций при наладке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испытаний налаживаемых узлов аппаратов для приготовления химических растворов на холостом ходу и нормальной нагрузке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Ввод в эксплуатацию аппаратов для приготовления химических растворов после наладки под руководством аппаратчика 3-го, 4-го уровня квалификации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налаживаемыми узлами аппаратов для приготовления химических растворов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Разбирать и собирать налаживаемые узлы аппаратов для приготовления химических растворов с соблюдением требований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испытания налаживаемых узлов аппаратов для приготовления химических растворов в соответствии с правилами проведения испытаний узлов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Вводить в эксплуатацию аппараты для приготовления химических растворов после наладки под руководством аппаратчика 3-го, 4-го уровня квалификации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 и поражении электрическим током при наладке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налаживаемых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налаживаемых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проведения испытаний налаживаемых узлов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Безопасные приемы и методы работы при наладке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Инструкция по вводу в эксплуатацию аппаратов для приготовления химических растворов после проведения наладки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 и поражении электрическим током при наладке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наладке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«Ведение подготовительных работ при приготовлении химических растворов»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подготовительных работ при приготовлении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2-го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рабочих, программы переподготовки рабочих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 при работе на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Аппаратчики, операторы и машинисты установок по переработке химического и нефтехимического сырья, не вошедшие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2-го разряда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химикатов к растворению в аппаратах для приготовления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Очистка от примесей, дробление и просеивание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Взвешивание подготовленных к растворению химикатов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специальным оборудованием для очистки, дробления и просеивания химикатов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оборудованием для взвешивания химикатов в соответствии с правилами эксплуатации весового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подготовке химикатов к растворению в аппаратах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технологического процесса подготовки химикатов к растворению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оборудования, предназначенного для очистки, дробления и просеивания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весового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подготовке химикатов к растворению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подготовке химикатов к растворению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аппаратов для приготовления химических растворов к работе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и закрепление в аппаратах для растворения химикатов мешалок необходимого типа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и закрепление в аппаратах для фильтрации химических растворов сит с ячейками необходимого размера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защитных ограждений опасных зон, вращающихся механизмов, электродвигателей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в аппаратах для растворения химикатов и фильтрации химических растворов на панелях управления параметров технологического процесса, заданных в технологическом регламенте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приготовления химических растворов на холостом ходу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и закреплять детали в аппаратах для приготовления химических растворов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состояние защитных ограждений в соответствии со схемой размещения и общим видом ограждений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Устанавливать на панелях управления необходимые параметры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 и поражении электрическим током при подготовке аппаратов к работе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технологического процесса подготовки аппаратов для приготовления химических растворов к работе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Схема размещения и общий вид защитных ограждений опасных зон, вращающихся механизмов, электродвигателей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 и поражении электрическим током при подготовке аппаратов для приготовления химических растворов к работе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подготовке аппаратов для приготовления химических растворов к работе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«Ведение процесса приготовления одно-, двухкомпонентных химических растворов»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процесса приготовления одно-, двухкомпонентных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3-го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 при работе на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Аппаратчики, операторы и машинисты установок по переработке химического и нефтехимического сырья, не вошедшие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3-го разряда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Растворение химикатов в аппаратах для приготовления одно-, двухкомпонентных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Заливка в аппарат для растворения химикатов растворителя, включение мешалки, засыпка (заливка)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растворения химикатов при комнатной температуре, нагревании или охлаждении (при нормальном, повышенном или пониженном внутреннем давлении)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Слив готового химического раствора в отстойник или подача его на фильтрацию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Промывка аппарата для растворения химикатов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растворения химикатов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при растворении химикатов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устранять причины отклонения параметров работы аппаратов для растворения химикатов от значений, установленных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растворении химикатов в аппаратах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растворения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растворения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растворения химикатов в аппаратах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при растворении химикатов в аппаратах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растворении химикатов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растворении химикатов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Очистка химических растворов декантацией после отстаивания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Выдерживание химического раствора для отстаивания в отстойнике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Слив верхнего слоя очищенного химического раствора в бак готового раствора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Удаление шлама и промывка отстойника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очистки химических растворов декантацией после отстаивания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при очистке химических растворов декантацией после отстаивания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устранять причины отклонения параметров работы аппаратов для очистки химических растворов декантацией от значений, установленных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очистке химических растворов декантацией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очистки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очистки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очистки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при очистке химических растворов декантацией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очистке химических растворов декантацией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очистке химических растворов декантацией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Очистка химических растворов фильтрацией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Подача химического раствора в аппарат для фильтрации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Слив очищенного химического раствора в бак готового раствора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Промывка аппарата для фильтрации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очистки химических растворов фильтрацией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при очистке химических растворов фильтрацией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устранять причины отклонения параметров работы аппаратов для очистки химических растворов фильтрацией от значений, установленных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очистке химических растворов фильтрацией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очистки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очистки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очистки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при очистке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очистке химических растворов фильтрацией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очистке химических растворов фильтрацией в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приготовления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растворения химикатов на панелях управления аппаратов для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очистки химических растворов на панелях управления аппаратов для очистки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для определения параметров технологического процесса приготовления химических растворов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параметров технологического процесса значениям, заданным в технологическом регламенте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производства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для определения параметров технологического процесса приготовления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контроле параметров технологического процесса приготовления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качества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C/05.3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Визуальный контроль химических растворов - цвета и прозрачности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кислотности и вязкости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визуально качество химических растворов на соответствие требованиям стандарта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для определения технических свойств химических растворов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Государственные стандарты, технические условия и стандарты предприятия на химические растворы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для оценки качества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контроле качества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7" w:name="_Toc7"/>
      <w:r>
        <w:t>3.4. Обобщенная трудовая функция «Ведение процесса приготовления многокомпонентных химических растворов»</w:t>
      </w:r>
      <w:bookmarkEnd w:id="7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процесса приготовления многокомпонентных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4-го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квалификационных рабочих</w:t>
            </w:r>
          </w:p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 средним профессиональным образованием - без опыта работы</w:t>
            </w:r>
          </w:p>
          <w:p>
            <w:pPr>
              <w:pStyle w:val="pTextStyle"/>
            </w:pPr>
            <w:r>
              <w:rPr/>
              <w:t xml:space="preserve">Без среднего профессионального образования - не менее одного года работы аппаратчиком приготовления химических растворов 3-го уровня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инструктажа по охране труда при работе на аппаратах для приготовления химических растворов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ОКНПО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приготовления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 ОК 010-93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8159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Аппаратчики, операторы и машинисты установок по переработке химического и нефтехимического сырья, не вошедшие в другие группы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/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приготовления химических растворов 4-го разряда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Растворение химикатов в аппаратах для приготовления многокомпонентных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D/01.4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Заливка в аппарат для растворения химикатов растворителя, включение мешалки, засыпка (заливка)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растворения химикатов при комнатной температуре, нагревании или охлаждении (при нормальном, повышенном или пониженном внутреннем давлении)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Слив готового многокомпонентного химического раствора в отстойник или подача его на фильтрацию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Промывка аппарата для растворения химикатов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растворения химикатов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и автоматическими системами управления технологическим процессом при растворении химикатов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устранять причины отклонения параметров работы аппаратов для растворения химикатов от значений, установленных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растворении химикатов в аппаратах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растворения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работы аппаратов для растворения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растворения химикатов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растворения химикатов в аппаратах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 и автоматических систем управления технологическим процессом, применяемых при растворении химикатов в аппаратах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растворении химикатов в аппаратах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растворении химикатов в аппаратах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Очистка многокомпонентных химических растворов декантацией после отстаивания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D/02.4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Выдерживание многокомпонентного химического раствора для отстаивания в отстойнике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Слив верхнего слоя очищенного многокомпонентного химического раствора в бак готового раствора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Удаление шлама и промывка отстойника многокомпонентного химического раствора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очистки многокомпонентных химических растворов декантацией после отстаивания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и автоматическими системами управления технологическим процессом при очистке многокомпонентных химических растворов декантацией после отстаивания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устранять причины отклонения параметров работы аппаратов для очистки многокомпонентных химических растворов декантацией от значений, установленных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очистке многокомпонентных химических растворов декантацией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очистки многокомпонентных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работы аппаратов для очистки многокомпонентных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очистки многокомпонентных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очистки многокомпонентных химических растворов декантацией после отстаивания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 и автоматических систем управления технологическим процессом, применяемых при очистке многокомпонентных химических растворов декантацией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очистке химических растворов декантацией в аппаратах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очистке химических растворов декантацией в аппаратах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Очистка многокомпонентных химических растворов фильтрацией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D/03.4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Подача многокомпонентного химического раствора в аппарат для фильтрации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Слив очищенного многокомпонентного химического раствора в бак готового раствора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Промывка аппарата для фильтрации многокомпонентного химического раствора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Управлять аппаратами для очистки многокомпонентных химических растворов фильтрацией в соответствии с правилами эксплуатации аппаратов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и автоматическими системами управления технологическим процессом при очистке многокомпонентных химических растворов фильтрацией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 устранять причины отклонения параметров работы аппаратов для очистки многокомпонентных химических растворов фильтрацией от значений, установленных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 пострадавшим при получении травмы, отравлении и поражении электрическим током при очистке многокомпонентных химических растворов фильтрацией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аппаратов для очистки многокомпонентных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работы аппаратов для очистки многокомпонентных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технической эксплуатации аппаратов для очистки многокомпонентных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очистки многокомпонентных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 и автоматических систем управления технологическим процессом, применяемых при очистке многокомпонентных химических растворов фильтрацией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оказания первой помощи пострадавшим при получении травмы, отравлении и поражении электрическим током при очистке химических растворов фильтрацией в аппаратах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очистке химических растворов фильтрацией в аппаратах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приготовления многокомпонентных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D/04.4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растворения химикатов при приготовлении многокомпонентных химических растворов на панелях управления аппаратов для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очистки многокомпонентных химических растворов на панелях управления аппаратов для очистки многокомпонентных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соответствие параметров технологического процесса приготовления многокомпонентных химических растворов значениям, заданным в технологическом регламенте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для определения параметров технологического процесса приготовления многокомпонентных химических растворов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производства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для определения параметров технологического процесса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контроле параметров технологического процесса приготовления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3.4.5.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качества многокомпонентных химических растворов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D/05.4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290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Визуальный контроль многокомпонентных химических растворов - цвета и прозрачности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кислотности и вязкости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визуально качество многокомпонентных химических растворов на соответствие требованиям стандарта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контрольно-измерительным оборудованием для определения технических свойств многокомпонентных химических растворов в соответствии с правилами эксплуатации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Государственные стандарты, технические условия и стандарты предприятия на многокомпонентные химические растворы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 действия и правила эксплуатации контрольно-измерительного оборудования, применяемого для оценки качества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труда, пожарной безопасности при контроле качества многокомпонентных химических растворов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8" w:name="_Toc8"/>
      <w:r>
        <w:t>IV. Сведения об организациях – разработчиках профессионального стандарта</w:t>
      </w:r>
      <w:bookmarkEnd w:id="8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Российский союз промышленников и предпринимателей (РСПП), город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Исполнительный вице-президент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Кузьмин Дмитрий Владимирович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ОАО «Центральный научно-исследовательский институт бумаги» (ОАО «ЦНИИБ»), поселок Правдинский, Московская область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Общероссийское отраслевое объединение работодателей целлюлозно-бумажной промышленности (ОООР «Бумпром»), город Москва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2022-01-19T12:56:13+03:00</dcterms:created>
  <dcterms:modified xsi:type="dcterms:W3CDTF">2022-01-19T12:56:13+03:00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