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</w:p>
    <w:p>
      <w:pPr>
        <w:jc w:val="center"/>
        <w:rPr>
          <w:sz w:val="22"/>
          <w:szCs w:val="22"/>
        </w:rPr>
      </w:pPr>
      <w:r>
        <w:rPr>
          <w:sz w:val="22"/>
          <w:szCs w:val="22"/>
        </w:rPr>
        <w:tab/>
      </w:r>
    </w:p>
    <w:tbl>
      <w:tblPr>
        <w:tblStyle w:val="5"/>
        <w:tblW w:w="1014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74"/>
        <w:gridCol w:w="78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74" w:type="dxa"/>
          </w:tcPr>
          <w:p>
            <w:pPr>
              <w:widowControl w:val="0"/>
              <w:overflowPunct w:val="0"/>
              <w:adjustRightInd w:val="0"/>
              <w:spacing w:after="120"/>
              <w:jc w:val="center"/>
              <w:rPr>
                <w:rFonts w:eastAsia="Calibri"/>
                <w:kern w:val="28"/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drawing>
                <wp:inline distT="0" distB="0" distL="0" distR="0">
                  <wp:extent cx="1276350" cy="1276350"/>
                  <wp:effectExtent l="0" t="0" r="0" b="0"/>
                  <wp:docPr id="3" name="Рисунок 1" descr="ЛОГО ТП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" descr="ЛОГО ТП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6" w:type="dxa"/>
          </w:tcPr>
          <w:p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МИНИСТЕРСТВО ОБРАЗОВАНИЯ И НАУКИ </w:t>
            </w:r>
          </w:p>
          <w:p>
            <w:pPr>
              <w:spacing w:after="120"/>
              <w:jc w:val="center"/>
              <w:rPr>
                <w:rFonts w:eastAsia="Calibri"/>
                <w:kern w:val="28"/>
                <w:sz w:val="24"/>
                <w:szCs w:val="24"/>
              </w:rPr>
            </w:pPr>
            <w:r>
              <w:rPr>
                <w:sz w:val="24"/>
                <w:szCs w:val="24"/>
              </w:rPr>
              <w:t>САМАРСКОЙ ОБЛАСТИ</w:t>
            </w:r>
          </w:p>
          <w:p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бюджетное профессиональное образовательное учреждение Самарской области</w:t>
            </w:r>
          </w:p>
          <w:p>
            <w:pPr>
              <w:spacing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«Тольяттинский политехнический колледж»  </w:t>
            </w:r>
          </w:p>
          <w:p>
            <w:pPr>
              <w:widowControl w:val="0"/>
              <w:overflowPunct w:val="0"/>
              <w:adjustRightInd w:val="0"/>
              <w:spacing w:after="120"/>
              <w:jc w:val="center"/>
              <w:rPr>
                <w:rFonts w:eastAsia="Calibri"/>
                <w:kern w:val="28"/>
                <w:sz w:val="24"/>
                <w:szCs w:val="24"/>
              </w:rPr>
            </w:pPr>
            <w:r>
              <w:rPr>
                <w:sz w:val="24"/>
                <w:szCs w:val="24"/>
              </w:rPr>
              <w:t>(ГБПОУ СО «ТПК»)</w:t>
            </w:r>
          </w:p>
        </w:tc>
      </w:tr>
    </w:tbl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spacing w:line="360" w:lineRule="auto"/>
        <w:jc w:val="right"/>
        <w:rPr>
          <w:rStyle w:val="7"/>
          <w:b w:val="0"/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jc w:val="center"/>
        <w:rPr>
          <w:sz w:val="24"/>
          <w:szCs w:val="24"/>
        </w:rPr>
      </w:pPr>
    </w:p>
    <w:p>
      <w:pPr>
        <w:jc w:val="center"/>
        <w:rPr>
          <w:b/>
          <w:caps/>
          <w:sz w:val="28"/>
          <w:szCs w:val="28"/>
        </w:rPr>
      </w:pPr>
      <w:r>
        <w:rPr>
          <w:b/>
          <w:sz w:val="28"/>
          <w:szCs w:val="28"/>
        </w:rPr>
        <w:t>Методическая разработка открытого учебного занятия</w:t>
      </w:r>
    </w:p>
    <w:p>
      <w:pPr>
        <w:jc w:val="center"/>
        <w:rPr>
          <w:b/>
          <w:caps/>
          <w:sz w:val="28"/>
          <w:szCs w:val="28"/>
        </w:rPr>
      </w:pPr>
    </w:p>
    <w:p>
      <w:pPr>
        <w:spacing w:line="360" w:lineRule="auto"/>
        <w:ind w:left="709" w:hanging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«Усиление каменных стен, столбов, простенков»</w:t>
      </w: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>МДК.04.02. Реконструкция зданий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>
      <w:pPr>
        <w:pStyle w:val="10"/>
        <w:ind w:left="2964" w:hanging="2964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Специальность:   08.02.01 «Строительство и эксплуатация зданий и сооружений»</w:t>
      </w: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>
      <w:pPr>
        <w:spacing w:line="360" w:lineRule="auto"/>
        <w:jc w:val="center"/>
        <w:rPr>
          <w:b/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Разработал преподаватель: Л.В. Курушина</w:t>
      </w: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bookmarkStart w:id="0" w:name="_GoBack"/>
      <w:bookmarkEnd w:id="0"/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4"/>
          <w:szCs w:val="24"/>
        </w:rPr>
      </w:pPr>
      <w:r>
        <w:rPr>
          <w:sz w:val="28"/>
          <w:szCs w:val="28"/>
        </w:rPr>
        <w:t>Тольятти</w:t>
      </w:r>
    </w:p>
    <w:p>
      <w:pPr>
        <w:jc w:val="center"/>
        <w:rPr>
          <w:sz w:val="28"/>
        </w:rPr>
      </w:pPr>
    </w:p>
    <w:p>
      <w:pPr>
        <w:pStyle w:val="11"/>
        <w:spacing w:line="360" w:lineRule="auto"/>
        <w:ind w:firstLine="709"/>
        <w:rPr>
          <w:sz w:val="24"/>
          <w:szCs w:val="24"/>
        </w:rPr>
      </w:pPr>
    </w:p>
    <w:p>
      <w:pPr>
        <w:pStyle w:val="11"/>
        <w:spacing w:line="360" w:lineRule="auto"/>
        <w:rPr>
          <w:sz w:val="24"/>
          <w:szCs w:val="24"/>
        </w:rPr>
      </w:pPr>
    </w:p>
    <w:p>
      <w:pPr>
        <w:pStyle w:val="11"/>
        <w:spacing w:line="360" w:lineRule="auto"/>
        <w:ind w:firstLine="709"/>
        <w:rPr>
          <w:sz w:val="24"/>
          <w:szCs w:val="24"/>
        </w:rPr>
      </w:pPr>
    </w:p>
    <w:p>
      <w:pPr>
        <w:pStyle w:val="11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Разработчик: Курушина Л.В., преподаватель Тольяттинского политехнического  колледжа</w:t>
      </w:r>
    </w:p>
    <w:p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1"/>
        <w:ind w:left="1701" w:hanging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Рецензент: 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Фяткуллов М.Р</w:t>
      </w:r>
      <w:r>
        <w:rPr>
          <w:rFonts w:ascii="Times New Roman" w:hAnsi="Times New Roman" w:cs="Times New Roman"/>
          <w:sz w:val="24"/>
          <w:szCs w:val="24"/>
        </w:rPr>
        <w:t>., директор ООО «</w:t>
      </w:r>
      <w:r>
        <w:rPr>
          <w:rFonts w:ascii="Times New Roman" w:hAnsi="Times New Roman" w:cs="Times New Roman"/>
          <w:sz w:val="24"/>
          <w:szCs w:val="24"/>
          <w:lang w:val="ru-RU"/>
        </w:rPr>
        <w:t>Капитальный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»</w:t>
      </w:r>
    </w:p>
    <w:p>
      <w:pPr>
        <w:spacing w:after="120"/>
        <w:ind w:firstLine="709"/>
        <w:jc w:val="both"/>
        <w:rPr>
          <w:sz w:val="24"/>
          <w:szCs w:val="24"/>
        </w:rPr>
      </w:pPr>
    </w:p>
    <w:p>
      <w:pPr>
        <w:spacing w:after="120" w:line="360" w:lineRule="auto"/>
        <w:ind w:firstLine="709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spacing w:after="120" w:line="360" w:lineRule="auto"/>
        <w:jc w:val="both"/>
        <w:rPr>
          <w:sz w:val="24"/>
          <w:szCs w:val="24"/>
        </w:rPr>
      </w:pPr>
    </w:p>
    <w:p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4"/>
          <w:szCs w:val="24"/>
        </w:rPr>
      </w:pPr>
      <w:r>
        <w:rPr>
          <w:sz w:val="24"/>
          <w:szCs w:val="24"/>
        </w:rPr>
        <w:t>Методическая  разработка открытого учебного занятия по</w:t>
      </w:r>
      <w:r>
        <w:rPr>
          <w:b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>МДК 04.02  Реконструкция зданий</w:t>
      </w:r>
      <w:r>
        <w:rPr>
          <w:sz w:val="24"/>
          <w:szCs w:val="24"/>
        </w:rPr>
        <w:t xml:space="preserve">  разработана  для студентов специальности </w:t>
      </w:r>
      <w:r>
        <w:rPr>
          <w:bCs/>
          <w:sz w:val="24"/>
          <w:szCs w:val="24"/>
        </w:rPr>
        <w:t>08.02.01  «Строительство и эксплуатация зданий и сооружений»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по организации и выполнению ими практических работ   в</w:t>
      </w:r>
      <w:r>
        <w:rPr>
          <w:sz w:val="24"/>
          <w:szCs w:val="24"/>
        </w:rPr>
        <w:t xml:space="preserve"> соответствии с рабочей программой профессионального модуля ПМ.04 </w:t>
      </w:r>
      <w:r>
        <w:rPr>
          <w:b/>
          <w:sz w:val="24"/>
          <w:szCs w:val="24"/>
        </w:rPr>
        <w:t>Организация видов работ при эксплуатации и реконструкции строительных объектов.</w:t>
      </w:r>
    </w:p>
    <w:p>
      <w:pPr>
        <w:ind w:firstLine="709"/>
        <w:jc w:val="both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jc w:val="center"/>
        <w:rPr>
          <w:b/>
          <w:sz w:val="24"/>
          <w:szCs w:val="24"/>
        </w:rPr>
      </w:pPr>
    </w:p>
    <w:p>
      <w:pPr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 УЧЕБНОГО ЗАНЯТИЯ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tbl>
      <w:tblPr>
        <w:tblStyle w:val="5"/>
        <w:tblW w:w="988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5"/>
        <w:gridCol w:w="7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Наименование учебной дисциплины, МДК, УП, ПП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 МДК 04.02 Реконструкция зданий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rStyle w:val="7"/>
                <w:b w:val="0"/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Группа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Ст-41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Преподаватель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Курушина Людмила Васильевна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rStyle w:val="7"/>
                <w:b w:val="0"/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Дата проведения учебного занятия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08.10.2019 г.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Тема учебного занятия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t xml:space="preserve">Усиление кирпичных стен, столбов, простенков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rStyle w:val="7"/>
                <w:b w:val="0"/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Тип учебного занятия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iCs/>
                <w:color w:val="000000"/>
              </w:rPr>
              <w:t>Урок совершенствования знаний, умений и навыков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rStyle w:val="7"/>
                <w:b w:val="0"/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Вид учебного занятия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iCs/>
                <w:color w:val="000000"/>
              </w:rPr>
              <w:t>практическое занятие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Цель учебного занятия</w:t>
            </w:r>
          </w:p>
        </w:tc>
        <w:tc>
          <w:tcPr>
            <w:tcW w:w="7014" w:type="dxa"/>
            <w:tcBorders>
              <w:bottom w:val="single" w:color="auto" w:sz="4" w:space="0"/>
            </w:tcBorders>
            <w:shd w:val="clear" w:color="auto" w:fill="auto"/>
          </w:tcPr>
          <w:p>
            <w:pPr>
              <w:pStyle w:val="13"/>
              <w:spacing w:before="0" w:beforeAutospacing="0" w:after="0" w:afterAutospacing="0"/>
            </w:pPr>
            <w:r>
              <w:rPr>
                <w:rStyle w:val="19"/>
                <w:color w:val="auto"/>
              </w:rPr>
              <w:t>Обобщение знаний и умений  о техническом обследовании зданий для проектирования их ремонта и реконструкции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4" w:hRule="atLeast"/>
        </w:trPr>
        <w:tc>
          <w:tcPr>
            <w:tcW w:w="2875" w:type="dxa"/>
            <w:vMerge w:val="restart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rStyle w:val="7"/>
                <w:b w:val="0"/>
                <w:color w:val="000000"/>
              </w:rPr>
            </w:pPr>
          </w:p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Задачи учебного занятия</w:t>
            </w:r>
          </w:p>
        </w:tc>
        <w:tc>
          <w:tcPr>
            <w:tcW w:w="7014" w:type="dxa"/>
            <w:tcBorders>
              <w:bottom w:val="nil"/>
            </w:tcBorders>
            <w:shd w:val="clear" w:color="auto" w:fill="auto"/>
          </w:tcPr>
          <w:p>
            <w:pPr>
              <w:ind w:right="565" w:firstLine="386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color w:val="333333"/>
                <w:sz w:val="24"/>
                <w:szCs w:val="24"/>
              </w:rPr>
              <w:t>1.Образовательные:</w:t>
            </w:r>
            <w:r>
              <w:rPr>
                <w:color w:val="333333"/>
                <w:sz w:val="24"/>
                <w:szCs w:val="24"/>
              </w:rPr>
              <w:t xml:space="preserve">  </w:t>
            </w:r>
            <w:r>
              <w:rPr>
                <w:sz w:val="24"/>
                <w:szCs w:val="24"/>
              </w:rPr>
              <w:t xml:space="preserve">  </w:t>
            </w:r>
          </w:p>
          <w:p>
            <w:pPr>
              <w:ind w:right="565"/>
              <w:jc w:val="both"/>
              <w:rPr>
                <w:rStyle w:val="16"/>
                <w:b w:val="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- систематизировать знания о методах</w:t>
            </w:r>
            <w:r>
              <w:rPr>
                <w:sz w:val="24"/>
                <w:szCs w:val="24"/>
              </w:rPr>
              <w:t xml:space="preserve"> обследования и ремонта   конструктивных элементов здания;</w:t>
            </w:r>
            <w:r>
              <w:rPr>
                <w:rStyle w:val="16"/>
                <w:sz w:val="24"/>
                <w:szCs w:val="24"/>
              </w:rPr>
              <w:t xml:space="preserve"> </w:t>
            </w:r>
          </w:p>
          <w:p>
            <w:pPr>
              <w:pStyle w:val="30"/>
              <w:rPr>
                <w:sz w:val="24"/>
                <w:szCs w:val="24"/>
              </w:rPr>
            </w:pPr>
            <w:r>
              <w:rPr>
                <w:rStyle w:val="16"/>
                <w:sz w:val="24"/>
                <w:szCs w:val="24"/>
              </w:rPr>
              <w:t xml:space="preserve">  </w:t>
            </w:r>
            <w:r>
              <w:rPr>
                <w:rStyle w:val="16"/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Style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приобщить обучающихся к самостоятельной, исследовательской работе по выявлению дефектов и повреждений зданий и определению причин их возникновения;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</w:rPr>
            </w:pPr>
            <w:r>
              <w:rPr>
                <w:color w:val="000000"/>
              </w:rPr>
              <w:t xml:space="preserve">- закрепить полученные знания по усилению конструкций зданий и сооружений; 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 w:line="294" w:lineRule="atLeast"/>
            </w:pPr>
            <w:r>
              <w:t xml:space="preserve"> - применить полученные знания для оценки технического состояния каменных конструкций и разработки мероприятий по усилению и ремонту кирпичных стен, столбов, простенков.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 w:line="294" w:lineRule="atLeast"/>
            </w:pP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bottom w:val="nil"/>
            </w:tcBorders>
            <w:shd w:val="clear" w:color="auto" w:fill="auto"/>
          </w:tcPr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2.Развивающие:</w:t>
            </w:r>
            <w:r>
              <w:rPr>
                <w:color w:val="333333"/>
              </w:rPr>
              <w:t> 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</w:pPr>
            <w:r>
              <w:t>– способствовать развитию умения оперировать своими знаниями;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</w:pPr>
            <w:r>
              <w:t xml:space="preserve"> – способствовать развитию памяти, внимательности, наблюдательности; 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t>– способствовать развитию умения обобщать и анализировать свою деятельность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9" w:hRule="atLeast"/>
        </w:trPr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3.Воспитательные</w:t>
            </w:r>
            <w:r>
              <w:rPr>
                <w:color w:val="333333"/>
              </w:rPr>
              <w:t xml:space="preserve">: 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-повышать уровень информационной культуры; воспитывать интерес к профессии,  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- способствовать стремлению получать новые знания, которые будут полезны при дальнейшем обучении. 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  <w:rPr>
                <w:color w:val="333333"/>
              </w:rPr>
            </w:pPr>
            <w:r>
              <w:rPr>
                <w:color w:val="333333"/>
              </w:rPr>
              <w:t>-воспитывать коммуникабельность, креативность, ответственность за общее дело.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nil"/>
              <w:bottom w:val="single" w:color="auto" w:sz="4" w:space="0"/>
            </w:tcBorders>
            <w:shd w:val="clear" w:color="auto" w:fill="auto"/>
          </w:tcPr>
          <w:p>
            <w:pPr>
              <w:pStyle w:val="13"/>
              <w:shd w:val="clear" w:color="auto" w:fill="FFFFFF"/>
              <w:spacing w:after="150"/>
              <w:rPr>
                <w:color w:val="333333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Merge w:val="restart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Образовательные результаты учебного занятия</w:t>
            </w:r>
          </w:p>
        </w:tc>
        <w:tc>
          <w:tcPr>
            <w:tcW w:w="7014" w:type="dxa"/>
            <w:tcBorders>
              <w:bottom w:val="nil"/>
            </w:tcBorders>
            <w:shd w:val="clear" w:color="auto" w:fill="auto"/>
          </w:tcPr>
          <w:p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Общие компетенции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8" w:hRule="atLeast"/>
        </w:trPr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nil"/>
              <w:bottom w:val="single" w:color="auto" w:sz="4" w:space="0"/>
            </w:tcBorders>
            <w:shd w:val="clear" w:color="auto" w:fill="auto"/>
            <w:vAlign w:val="center"/>
          </w:tcPr>
          <w:p>
            <w:pPr>
              <w:pStyle w:val="1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Понимать сущность и социальную значимость своей будущей профессии, проявлять к ней устойчивый интерес.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  <w:p>
            <w:pPr>
              <w:pStyle w:val="17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bottom w:val="nil"/>
            </w:tcBorders>
            <w:shd w:val="clear" w:color="auto" w:fill="auto"/>
          </w:tcPr>
          <w:p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Профессиональные компетенции: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nil"/>
            </w:tcBorders>
            <w:shd w:val="clear" w:color="auto" w:fill="auto"/>
            <w:vAlign w:val="center"/>
          </w:tcPr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ПК 4.1 Принимать участие в диагностике технического состояния конструктивных элементов эксплуатируемых зданий. </w:t>
            </w:r>
          </w:p>
          <w:p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4.4 Осуществлять мероприятия по оценке технического состояния и реконструкции зданий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16" w:hRule="atLeast"/>
        </w:trPr>
        <w:tc>
          <w:tcPr>
            <w:tcW w:w="2875" w:type="dxa"/>
            <w:vMerge w:val="continue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014" w:type="dxa"/>
            <w:tcBorders>
              <w:top w:val="nil"/>
            </w:tcBorders>
            <w:shd w:val="clear" w:color="auto" w:fill="auto"/>
            <w:vAlign w:val="center"/>
          </w:tcPr>
          <w:p>
            <w:pPr>
              <w:rPr>
                <w:i/>
                <w:color w:val="000000"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 xml:space="preserve">                Оцениваемые образовательные результаты</w:t>
            </w:r>
          </w:p>
          <w:tbl>
            <w:tblPr>
              <w:tblStyle w:val="5"/>
              <w:tblW w:w="675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775"/>
              <w:gridCol w:w="1984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775" w:type="dxa"/>
                  <w:shd w:val="clear" w:color="auto" w:fill="auto"/>
                </w:tcPr>
                <w:p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Образовательный результат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Уровень освоения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775" w:type="dxa"/>
                  <w:shd w:val="clear" w:color="auto" w:fill="auto"/>
                </w:tcPr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Знания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З1-  аппаратуру и приборы,  применяемые   при обследовании зданий и сооружений;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З2-  типичные дефекты и повреждения конструкций и причины их возникновения;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З3- методы оценки технического состояния зданий и  фасадных конструкций;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З4-   требования нормативной документации;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З5- основные способы усиления конструкций зданий;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З6- последовательность выполнения работ по ремонту и реконструкции каменных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конструкций;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З7-  безопасные методы производства работ;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1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314" w:hRule="atLeast"/>
              </w:trPr>
              <w:tc>
                <w:tcPr>
                  <w:tcW w:w="4775" w:type="dxa"/>
                  <w:shd w:val="clear" w:color="auto" w:fill="auto"/>
                </w:tcPr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Умения: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У1-  выявлять дефекты, возникающие в конструктивных элементах зданий;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У2- работать с технической документацией;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У3-оценивать техническое состояние конструкций зданий и конструктивных элементов;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У4- определиться с выбором способа усиления конструкций;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У5- соблюдать технологическую последовательность работ;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У6- организовать безопасную работу по усилению конструкций;</w:t>
                  </w:r>
                </w:p>
                <w:p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shd w:val="clear" w:color="auto" w:fill="auto"/>
                </w:tcPr>
                <w:p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2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4775" w:type="dxa"/>
                  <w:shd w:val="clear" w:color="auto" w:fill="auto"/>
                </w:tcPr>
                <w:p>
                  <w:pPr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практический опыт (только для УП, ПП)</w:t>
                  </w:r>
                </w:p>
              </w:tc>
              <w:tc>
                <w:tcPr>
                  <w:tcW w:w="1984" w:type="dxa"/>
                  <w:shd w:val="clear" w:color="auto" w:fill="auto"/>
                </w:tcPr>
                <w:p>
                  <w:pPr>
                    <w:jc w:val="center"/>
                    <w:rPr>
                      <w:color w:val="000000"/>
                      <w:sz w:val="24"/>
                      <w:szCs w:val="24"/>
                    </w:rPr>
                  </w:pPr>
                  <w:r>
                    <w:rPr>
                      <w:color w:val="000000"/>
                      <w:sz w:val="24"/>
                      <w:szCs w:val="24"/>
                    </w:rPr>
                    <w:t>3</w:t>
                  </w:r>
                </w:p>
              </w:tc>
            </w:tr>
          </w:tbl>
          <w:p>
            <w:pPr>
              <w:rPr>
                <w:color w:val="00000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shd w:val="clear" w:color="auto" w:fill="auto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Используемые педагогические технологии</w:t>
            </w:r>
          </w:p>
        </w:tc>
        <w:tc>
          <w:tcPr>
            <w:tcW w:w="7014" w:type="dxa"/>
            <w:shd w:val="clear" w:color="auto" w:fill="auto"/>
            <w:vAlign w:val="center"/>
          </w:tcPr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Технологии </w:t>
            </w:r>
            <w:r>
              <w:rPr>
                <w:sz w:val="24"/>
                <w:szCs w:val="24"/>
              </w:rPr>
              <w:t>компетентностно-ориентированного обучения</w:t>
            </w:r>
            <w:r>
              <w:rPr>
                <w:color w:val="000000"/>
                <w:sz w:val="24"/>
                <w:szCs w:val="24"/>
              </w:rPr>
              <w:t>:</w:t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проблемно-поисковые;</w:t>
            </w:r>
          </w:p>
          <w:p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2D"/>
            </w:r>
            <w:r>
              <w:rPr>
                <w:sz w:val="24"/>
                <w:szCs w:val="24"/>
              </w:rPr>
              <w:t xml:space="preserve"> обучение в сотрудничестве c использованием информационно-коммуникационных технологий;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Вид используемых на занятии средств ИКТ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(электронный учебник, обучающие программы, тестирующие программы, электронные презентации, ресурсы сети Интернет)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</w:pPr>
            <w:r>
              <w:t>- электронная презентация «Дефекты и усиление каменных конструкций»;</w:t>
            </w:r>
          </w:p>
          <w:p>
            <w:pPr>
              <w:rPr>
                <w:sz w:val="24"/>
                <w:szCs w:val="24"/>
              </w:rPr>
            </w:pPr>
            <w:r>
              <w:rPr>
                <w:rStyle w:val="19"/>
                <w:color w:val="auto"/>
              </w:rPr>
              <w:t>- стройтехнолог".- Информационный центр Госстроя РФ. 2012.-</w:t>
            </w:r>
            <w:r>
              <w:rPr>
                <w:rFonts w:ascii="TimesNewRomanPSMT" w:hAnsi="TimesNewRomanPSMT"/>
                <w:sz w:val="22"/>
                <w:szCs w:val="22"/>
              </w:rPr>
              <w:br w:type="textWrapping"/>
            </w:r>
            <w:r>
              <w:rPr>
                <w:rStyle w:val="19"/>
                <w:color w:val="auto"/>
              </w:rPr>
              <w:t>Электрон. Диск, ТПК</w:t>
            </w:r>
          </w:p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t>-электронные ресурсы на АСУ ТПК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2875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bCs/>
                <w:color w:val="000000"/>
              </w:rPr>
            </w:pPr>
            <w:r>
              <w:rPr>
                <w:rStyle w:val="7"/>
                <w:b w:val="0"/>
                <w:color w:val="000000"/>
              </w:rPr>
              <w:t>Образовательные ресурсы Интернет</w:t>
            </w:r>
          </w:p>
        </w:tc>
        <w:tc>
          <w:tcPr>
            <w:tcW w:w="7014" w:type="dxa"/>
            <w:shd w:val="clear" w:color="auto" w:fill="auto"/>
          </w:tcPr>
          <w:p>
            <w:pPr>
              <w:rPr>
                <w:sz w:val="24"/>
                <w:szCs w:val="24"/>
              </w:rPr>
            </w:pPr>
            <w:r>
              <w:rPr>
                <w:rStyle w:val="19"/>
              </w:rPr>
              <w:t xml:space="preserve">http://www.tehlit.ru/  </w:t>
            </w:r>
          </w:p>
          <w:p>
            <w:pPr>
              <w:pStyle w:val="13"/>
              <w:spacing w:before="0" w:beforeAutospacing="0" w:after="0" w:afterAutospacing="0"/>
            </w:pPr>
            <w: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89" w:type="dxa"/>
            <w:gridSpan w:val="2"/>
            <w:shd w:val="clear" w:color="auto" w:fill="auto"/>
          </w:tcPr>
          <w:p>
            <w:pPr>
              <w:rPr>
                <w:i/>
                <w:color w:val="000000"/>
              </w:rPr>
            </w:pPr>
            <w:r>
              <w:rPr>
                <w:i/>
                <w:sz w:val="24"/>
                <w:szCs w:val="24"/>
              </w:rPr>
              <w:t>Перечень используемых наглядных пособий, технических средств, методических указаний, дидактических материалов: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2875" w:type="dxa"/>
            <w:shd w:val="clear" w:color="auto" w:fill="auto"/>
          </w:tcPr>
          <w:p>
            <w:pPr>
              <w:rPr>
                <w:rStyle w:val="7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 Дидактический, раздаточный материал</w:t>
            </w:r>
          </w:p>
        </w:tc>
        <w:tc>
          <w:tcPr>
            <w:tcW w:w="7014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1. Курушина Л.В. Методические указания к практическим работам  «Реконструкция  зданий»,2017,  «ТПК»;</w:t>
            </w:r>
          </w:p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2. Курушина Л.В. Методические рекомендации  «Обследование и оценка технического состояния конструкций зданий»,2019,  «ТПК»;</w:t>
            </w:r>
          </w:p>
          <w:p>
            <w:pPr>
              <w:pStyle w:val="13"/>
              <w:spacing w:before="0" w:beforeAutospacing="0" w:after="0" w:afterAutospacing="0"/>
              <w:rPr>
                <w:rStyle w:val="29"/>
                <w:color w:val="000000"/>
              </w:rPr>
            </w:pPr>
            <w:r>
              <w:t xml:space="preserve">3. </w:t>
            </w:r>
            <w:r>
              <w:rPr>
                <w:rStyle w:val="29"/>
                <w:color w:val="000000"/>
              </w:rPr>
              <w:t>ВСН 53-86 Правила оценки физического износа жилых</w:t>
            </w:r>
          </w:p>
          <w:p>
            <w:pPr>
              <w:pStyle w:val="13"/>
              <w:shd w:val="clear" w:color="auto" w:fill="FFFFFF"/>
              <w:spacing w:before="0" w:beforeAutospacing="0" w:after="0" w:afterAutospacing="0"/>
            </w:pPr>
            <w:r>
              <w:rPr>
                <w:rStyle w:val="29"/>
                <w:color w:val="000000"/>
              </w:rPr>
              <w:t>зданий</w:t>
            </w:r>
          </w:p>
          <w:p>
            <w:pPr>
              <w:rPr>
                <w:sz w:val="24"/>
                <w:szCs w:val="24"/>
              </w:rPr>
            </w:pPr>
            <w:r>
              <w:rPr>
                <w:rStyle w:val="19"/>
              </w:rPr>
              <w:t>4. СНиП 12- 04-2002 «Безопасность труда в строительстве».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br w:type="textWrapping"/>
            </w:r>
            <w:r>
              <w:rPr>
                <w:rStyle w:val="19"/>
              </w:rPr>
              <w:t>Часть 1 «Строительное производство» (рекомендуемое)</w:t>
            </w:r>
          </w:p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5. Карточки рефлексии (Приложение Г)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2875" w:type="dxa"/>
            <w:shd w:val="clear" w:color="auto" w:fill="auto"/>
          </w:tcPr>
          <w:p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 Наглядные пособия</w:t>
            </w:r>
          </w:p>
        </w:tc>
        <w:tc>
          <w:tcPr>
            <w:tcW w:w="7014" w:type="dxa"/>
            <w:shd w:val="clear" w:color="auto" w:fill="auto"/>
          </w:tcPr>
          <w:p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shd w:val="clear" w:color="auto" w:fill="auto"/>
          </w:tcPr>
          <w:p>
            <w:pPr>
              <w:rPr>
                <w:rStyle w:val="7"/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 Технические средства</w:t>
            </w:r>
          </w:p>
        </w:tc>
        <w:tc>
          <w:tcPr>
            <w:tcW w:w="7014" w:type="dxa"/>
            <w:shd w:val="clear" w:color="auto" w:fill="auto"/>
            <w:vAlign w:val="center"/>
          </w:tcPr>
          <w:p>
            <w:pPr>
              <w:rPr>
                <w:sz w:val="24"/>
                <w:szCs w:val="24"/>
              </w:rPr>
            </w:pPr>
            <w:r>
              <w:rPr>
                <w:rStyle w:val="19"/>
              </w:rPr>
              <w:t>- компьютер с установленным лицензионным программным</w:t>
            </w:r>
            <w:r>
              <w:rPr>
                <w:rFonts w:ascii="TimesNewRomanPSMT" w:hAnsi="TimesNewRomanPSMT"/>
                <w:color w:val="000000"/>
              </w:rPr>
              <w:br w:type="textWrapping"/>
            </w:r>
            <w:r>
              <w:rPr>
                <w:rStyle w:val="19"/>
              </w:rPr>
              <w:t>обеспечением;</w:t>
            </w:r>
            <w:r>
              <w:rPr>
                <w:rFonts w:ascii="TimesNewRomanPSMT" w:hAnsi="TimesNewRomanPSMT"/>
                <w:color w:val="000000"/>
              </w:rPr>
              <w:br w:type="textWrapping"/>
            </w:r>
            <w:r>
              <w:rPr>
                <w:rStyle w:val="19"/>
              </w:rPr>
              <w:t>- мультимедиапроектор;</w:t>
            </w:r>
            <w:r>
              <w:rPr>
                <w:rFonts w:ascii="TimesNewRomanPSMT" w:hAnsi="TimesNewRomanPSMT"/>
                <w:color w:val="000000"/>
              </w:rPr>
              <w:br w:type="textWrapping"/>
            </w:r>
            <w:r>
              <w:rPr>
                <w:rStyle w:val="19"/>
              </w:rPr>
              <w:t>- персональные ноутбуки.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75" w:type="dxa"/>
            <w:shd w:val="clear" w:color="auto" w:fill="auto"/>
          </w:tcPr>
          <w:p>
            <w:pPr>
              <w:rPr>
                <w:rStyle w:val="7"/>
                <w:b w:val="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Перечень литературы</w:t>
            </w:r>
          </w:p>
        </w:tc>
        <w:tc>
          <w:tcPr>
            <w:tcW w:w="7014" w:type="dxa"/>
            <w:shd w:val="clear" w:color="auto" w:fill="auto"/>
          </w:tcPr>
          <w:p>
            <w:pPr>
              <w:ind w:left="102" w:firstLine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В.М.Калинин, С.Д.Сокова,  А.Н.Топилин Обследование и испытание конструкций зданий и сооружений: учебник для студентов учреждений средне профессионального образования / пол ред. В.М.Калинин. – М.:ИНФРА-М, 2016. – 336с. </w:t>
            </w:r>
          </w:p>
          <w:p>
            <w:pPr>
              <w:pStyle w:val="13"/>
              <w:spacing w:before="0" w:beforeAutospacing="0" w:after="0" w:afterAutospacing="0"/>
              <w:ind w:left="102" w:firstLine="425"/>
              <w:rPr>
                <w:sz w:val="22"/>
                <w:szCs w:val="22"/>
              </w:rPr>
            </w:pPr>
            <w:r>
              <w:t>2. В.М.Калинин, С.Д.Сокова Оценка технического состояния зданий: учебник для студентов учреждений средне профессионального образования / под ред. В.М.Калинин. – М.: ИНФРА – М, 2016. – 268с.</w:t>
            </w:r>
          </w:p>
          <w:p>
            <w:pPr>
              <w:pStyle w:val="13"/>
              <w:spacing w:before="0" w:beforeAutospacing="0" w:after="0" w:afterAutospacing="0"/>
              <w:ind w:left="102" w:firstLine="425"/>
              <w:rPr>
                <w:sz w:val="22"/>
                <w:szCs w:val="22"/>
              </w:rPr>
            </w:pPr>
            <w:r>
              <w:t>3. Мешечек, В.В., Матвеев,Е.П. Пособие по оценке физического износа жилых и общественных зданий. ЦМПИКС при МГСУ. М., 1999. [Электронный ресурс]: СтройКонсультант.</w:t>
            </w:r>
          </w:p>
          <w:p>
            <w:pPr>
              <w:pStyle w:val="13"/>
              <w:spacing w:before="0" w:beforeAutospacing="0" w:after="0" w:afterAutospacing="0"/>
              <w:ind w:left="102" w:firstLine="425"/>
              <w:rPr>
                <w:rStyle w:val="29"/>
                <w:color w:val="000000"/>
              </w:rPr>
            </w:pPr>
            <w:r>
              <w:rPr>
                <w:rStyle w:val="29"/>
                <w:color w:val="000000"/>
              </w:rPr>
              <w:t>4. ВСН 53-86 Правила оценки физического износа жилых</w:t>
            </w:r>
          </w:p>
          <w:p>
            <w:pPr>
              <w:pStyle w:val="13"/>
              <w:spacing w:before="0" w:beforeAutospacing="0" w:after="0" w:afterAutospacing="0"/>
              <w:rPr>
                <w:rStyle w:val="29"/>
                <w:color w:val="000000"/>
              </w:rPr>
            </w:pPr>
            <w:r>
              <w:rPr>
                <w:rStyle w:val="29"/>
                <w:color w:val="000000"/>
              </w:rPr>
              <w:t>Зданий</w:t>
            </w:r>
          </w:p>
          <w:p>
            <w:pPr>
              <w:pStyle w:val="3"/>
              <w:shd w:val="clear" w:color="auto" w:fill="FFFFFF"/>
              <w:spacing w:before="0"/>
              <w:ind w:left="317" w:hanging="25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Style w:val="29"/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       5.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В.В Федоров Реконструкция и реставрация зданий: учебник.-М.: ИНФРА-М, 2017.-208с.-(Среднее профессиональное образование).</w:t>
            </w:r>
          </w:p>
          <w:p>
            <w:pPr>
              <w:pStyle w:val="13"/>
              <w:spacing w:before="0" w:beforeAutospacing="0" w:after="0" w:afterAutospacing="0"/>
              <w:rPr>
                <w:color w:val="000000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spacing w:after="240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>ЭТАПЫ УЧЕБНОГО ЗАНЯТИЯ</w:t>
      </w:r>
    </w:p>
    <w:tbl>
      <w:tblPr>
        <w:tblStyle w:val="5"/>
        <w:tblW w:w="101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0"/>
        <w:gridCol w:w="7912"/>
        <w:gridCol w:w="1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</w:trPr>
        <w:tc>
          <w:tcPr>
            <w:tcW w:w="56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791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Наименование этапа занятия, вида деятельности</w:t>
            </w:r>
          </w:p>
        </w:tc>
        <w:tc>
          <w:tcPr>
            <w:tcW w:w="1684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Планируемое время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Организационный этап</w:t>
            </w:r>
          </w:p>
        </w:tc>
        <w:tc>
          <w:tcPr>
            <w:tcW w:w="168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Актуализация опорных знаний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Вводный инструктаж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мин.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этап ( самостоятельная            работа обучающихся по заданию с использованием полученного на занятии инструктажа)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Рефлексия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Домашнее задание</w:t>
            </w:r>
          </w:p>
        </w:tc>
        <w:tc>
          <w:tcPr>
            <w:tcW w:w="168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мин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60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numPr>
                <w:ilvl w:val="0"/>
                <w:numId w:val="2"/>
              </w:numPr>
              <w:ind w:left="0" w:right="-82" w:firstLine="0"/>
              <w:rPr>
                <w:sz w:val="24"/>
                <w:szCs w:val="24"/>
              </w:rPr>
            </w:pPr>
          </w:p>
        </w:tc>
        <w:tc>
          <w:tcPr>
            <w:tcW w:w="7912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Поведение итогов занятия</w:t>
            </w:r>
          </w:p>
        </w:tc>
        <w:tc>
          <w:tcPr>
            <w:tcW w:w="1684" w:type="dxa"/>
            <w:tcBorders>
              <w:top w:val="single" w:color="auto" w:sz="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мин </w:t>
            </w:r>
          </w:p>
        </w:tc>
      </w:tr>
    </w:tbl>
    <w:p>
      <w:pPr>
        <w:rPr>
          <w:b/>
          <w:sz w:val="28"/>
          <w:szCs w:val="28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  <w:sectPr>
          <w:pgSz w:w="11906" w:h="16838"/>
          <w:pgMar w:top="851" w:right="850" w:bottom="719" w:left="1276" w:header="708" w:footer="708" w:gutter="0"/>
          <w:cols w:space="708" w:num="1"/>
          <w:docGrid w:linePitch="360" w:charSpace="0"/>
        </w:sectPr>
      </w:pPr>
      <w:r>
        <w:t xml:space="preserve"> </w:t>
      </w:r>
    </w:p>
    <w:p>
      <w:pPr>
        <w:pStyle w:val="2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Технологическая карта учебного занятия</w:t>
      </w:r>
    </w:p>
    <w:p/>
    <w:tbl>
      <w:tblPr>
        <w:tblStyle w:val="5"/>
        <w:tblW w:w="15586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9"/>
        <w:gridCol w:w="851"/>
        <w:gridCol w:w="3118"/>
        <w:gridCol w:w="1701"/>
        <w:gridCol w:w="1701"/>
        <w:gridCol w:w="2552"/>
        <w:gridCol w:w="2551"/>
        <w:gridCol w:w="15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9" w:hRule="atLeast"/>
          <w:tblHeader/>
        </w:trPr>
        <w:tc>
          <w:tcPr>
            <w:tcW w:w="1559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Этап урока</w:t>
            </w:r>
          </w:p>
        </w:tc>
        <w:tc>
          <w:tcPr>
            <w:tcW w:w="851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Время, мин</w:t>
            </w:r>
          </w:p>
        </w:tc>
        <w:tc>
          <w:tcPr>
            <w:tcW w:w="3118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 xml:space="preserve">Методы </w:t>
            </w:r>
            <w:r>
              <w:rPr>
                <w:bCs/>
                <w:i/>
                <w:color w:val="000000"/>
                <w:sz w:val="22"/>
                <w:szCs w:val="22"/>
              </w:rPr>
              <w:br w:type="textWrapping"/>
            </w: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и приемы работы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Форма организации учебной деятельности обучающихся</w:t>
            </w:r>
          </w:p>
        </w:tc>
        <w:tc>
          <w:tcPr>
            <w:tcW w:w="2552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Деятельность преподавателя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jc w:val="center"/>
              <w:rPr>
                <w:rStyle w:val="7"/>
                <w:b w:val="0"/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 xml:space="preserve">Деятельность </w:t>
            </w:r>
          </w:p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rStyle w:val="7"/>
                <w:b w:val="0"/>
                <w:i/>
                <w:color w:val="000000"/>
                <w:sz w:val="22"/>
                <w:szCs w:val="22"/>
              </w:rPr>
              <w:t>обучающихся</w:t>
            </w:r>
          </w:p>
        </w:tc>
        <w:tc>
          <w:tcPr>
            <w:tcW w:w="1553" w:type="dxa"/>
            <w:shd w:val="clear" w:color="auto" w:fill="auto"/>
            <w:vAlign w:val="center"/>
          </w:tcPr>
          <w:p>
            <w:pPr>
              <w:jc w:val="center"/>
              <w:rPr>
                <w:i/>
                <w:color w:val="000000"/>
                <w:sz w:val="22"/>
                <w:szCs w:val="22"/>
              </w:rPr>
            </w:pPr>
            <w:r>
              <w:rPr>
                <w:i/>
                <w:color w:val="000000"/>
                <w:sz w:val="22"/>
                <w:szCs w:val="22"/>
              </w:rPr>
              <w:t>Образовательные результаты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Организационный этап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Беседа.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Обучающимся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предлагается для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зрительного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восприятия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название темы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занятия  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фронтальная</w:t>
            </w:r>
          </w:p>
        </w:tc>
        <w:tc>
          <w:tcPr>
            <w:tcW w:w="2552" w:type="dxa"/>
            <w:shd w:val="clear" w:color="auto" w:fill="auto"/>
          </w:tcPr>
          <w:p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Приветствует группу, отмечает отсутствующих.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Произносит вступительное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слово</w:t>
            </w:r>
            <w:r>
              <w:rPr>
                <w:sz w:val="22"/>
                <w:szCs w:val="22"/>
              </w:rPr>
              <w:t>, в котором задаётся «рабочее настроение», предлагается план проведения мероприятия, озвучиваются цели.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Приветствуют преподавателя.</w:t>
            </w:r>
          </w:p>
        </w:tc>
        <w:tc>
          <w:tcPr>
            <w:tcW w:w="1553" w:type="dxa"/>
            <w:shd w:val="clear" w:color="auto" w:fill="auto"/>
          </w:tcPr>
          <w:p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Актуализация опорных знаний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numPr>
                <w:ilvl w:val="0"/>
                <w:numId w:val="3"/>
              </w:numPr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Проверка и корректировка теоретических знаний по изучаемой теме. 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(приложение А)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 Электронная презентация «Дефекты и усиление каменных конструкций» (Приложение Б)   </w:t>
            </w:r>
          </w:p>
        </w:tc>
        <w:tc>
          <w:tcPr>
            <w:tcW w:w="1701" w:type="dxa"/>
            <w:shd w:val="clear" w:color="auto" w:fill="auto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Ответы на вопросы фронтального опроса.  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Создание проблемной ситуации</w:t>
            </w:r>
          </w:p>
        </w:tc>
        <w:tc>
          <w:tcPr>
            <w:tcW w:w="1701" w:type="dxa"/>
            <w:shd w:val="clear" w:color="auto" w:fill="auto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групповая </w:t>
            </w:r>
          </w:p>
        </w:tc>
        <w:tc>
          <w:tcPr>
            <w:tcW w:w="2552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Проводит фронтальный опрос с места. Комментирует  ответы.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Подчеркивает важность информации. </w:t>
            </w:r>
          </w:p>
        </w:tc>
        <w:tc>
          <w:tcPr>
            <w:tcW w:w="255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Отвечают на вопросы.  </w:t>
            </w:r>
          </w:p>
        </w:tc>
        <w:tc>
          <w:tcPr>
            <w:tcW w:w="155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ОК2;  ОК6 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З1-З4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Вводный инструктаж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1. Последовательность выполнения работы:</w:t>
            </w:r>
          </w:p>
          <w:p>
            <w:pPr>
              <w:pStyle w:val="13"/>
              <w:spacing w:before="0" w:beforeAutospacing="0" w:after="0" w:afterAutospacing="0"/>
              <w:rPr>
                <w:spacing w:val="-1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- на</w:t>
            </w:r>
            <w:r>
              <w:rPr>
                <w:spacing w:val="-10"/>
                <w:sz w:val="22"/>
                <w:szCs w:val="22"/>
              </w:rPr>
              <w:t xml:space="preserve">  основе фотоматериалов выявление дефектов:  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определение  причины возникновения дефектов;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 xml:space="preserve">- определение физического износа;  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оценка технического состояния кирпичных стен;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определение  способа усиления кирпичных стен;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разработка технологии работ в зависимости от вида ремонта;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заполнение акта на скрытые работы;</w:t>
            </w:r>
          </w:p>
          <w:p>
            <w:pPr>
              <w:rPr>
                <w:spacing w:val="-10"/>
                <w:sz w:val="22"/>
                <w:szCs w:val="22"/>
              </w:rPr>
            </w:pPr>
            <w:r>
              <w:rPr>
                <w:spacing w:val="-10"/>
                <w:sz w:val="22"/>
                <w:szCs w:val="22"/>
              </w:rPr>
              <w:t>- вычерчивание схемы усиления кирпичных стен.</w:t>
            </w:r>
          </w:p>
        </w:tc>
        <w:tc>
          <w:tcPr>
            <w:tcW w:w="170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Проблемно-поисковые методы.  </w:t>
            </w:r>
          </w:p>
        </w:tc>
        <w:tc>
          <w:tcPr>
            <w:tcW w:w="1701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групповая 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Выдвигает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проблему</w:t>
            </w:r>
          </w:p>
          <w:p>
            <w:pPr>
              <w:tabs>
                <w:tab w:val="left" w:pos="198"/>
              </w:tabs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2. Предлагает студентам разделиться на группы (бригады)   для выполнения командной работы, максимально приближенной к реальной обстановке  работы строительного отдела проектного института.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3. Объясняет ход выполнения заданий и критерии оценивания 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1.Разбиваются на группы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2. Обсуждают и вырабатывают план работы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3. Работая в команде, закрепляют задания между членами команды. </w:t>
            </w:r>
          </w:p>
        </w:tc>
        <w:tc>
          <w:tcPr>
            <w:tcW w:w="1553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ОК2; 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Закрепление материала (практическое задание)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50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практической работы.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Составление и защита отчёта.  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Решение ситуационных профессиональных задач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Работа в малых группах</w:t>
            </w:r>
          </w:p>
        </w:tc>
        <w:tc>
          <w:tcPr>
            <w:tcW w:w="2552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Обходит рабочие места студентов.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Индивидуально подходит при затруднении выполнения работы.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Контролирует и корректирует выполнение работы. </w:t>
            </w:r>
          </w:p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551" w:type="dxa"/>
            <w:shd w:val="clear" w:color="auto" w:fill="auto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В процессе работы участники группы выполняют все необходимые действия согласно разработанной в задании последовательности, выполняют   расчёты, схемы, заполняют акт на скрытые работы.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За качество и своевременность выполнения всех работ несёт ответственность руководитель группы.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При выполнении заданий  студенты группы обращаются за помощью друг к другу и советуются с консультантом (преподавателем).</w:t>
            </w:r>
          </w:p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Студент, закончивший свое задание,  помогает остальным.</w:t>
            </w:r>
          </w:p>
        </w:tc>
        <w:tc>
          <w:tcPr>
            <w:tcW w:w="155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ОК1- ОК6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З1-З7;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У1-У6;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 4.1; ПК4.4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Рефлексия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 проблем обучающихся собственной деятельности на занятии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Карточка рефлексии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pStyle w:val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Раздаёт карточки.</w:t>
            </w:r>
          </w:p>
          <w:p>
            <w:pPr>
              <w:pStyle w:val="18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Поясняет правила заполнения карточек. Анализирует работу студентов.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Оценивают успешность собственной деятельности на занятии. </w:t>
            </w:r>
          </w:p>
        </w:tc>
        <w:tc>
          <w:tcPr>
            <w:tcW w:w="1553" w:type="dxa"/>
            <w:shd w:val="clear" w:color="auto" w:fill="auto"/>
          </w:tcPr>
          <w:p>
            <w:pPr>
              <w:pStyle w:val="18"/>
              <w:rPr>
                <w:color w:val="auto"/>
                <w:sz w:val="22"/>
                <w:szCs w:val="22"/>
              </w:rPr>
            </w:pPr>
            <w:r>
              <w:rPr>
                <w:color w:val="FF0000"/>
                <w:sz w:val="22"/>
                <w:szCs w:val="22"/>
              </w:rPr>
              <w:t xml:space="preserve"> </w:t>
            </w:r>
            <w:r>
              <w:rPr>
                <w:color w:val="auto"/>
                <w:sz w:val="22"/>
                <w:szCs w:val="22"/>
              </w:rPr>
              <w:t>ОК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Домашнее задание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Оформление отчета по выполненной работе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pStyle w:val="18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Выдаёт общее домашнее задание, комментирует его выполнение.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домашнее задание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553" w:type="dxa"/>
            <w:shd w:val="clear" w:color="auto" w:fill="auto"/>
          </w:tcPr>
          <w:p>
            <w:pPr>
              <w:pStyle w:val="18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9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Поведение итогов занятия</w:t>
            </w:r>
          </w:p>
        </w:tc>
        <w:tc>
          <w:tcPr>
            <w:tcW w:w="851" w:type="dxa"/>
            <w:shd w:val="clear" w:color="auto" w:fill="auto"/>
          </w:tcPr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 мин</w:t>
            </w:r>
          </w:p>
        </w:tc>
        <w:tc>
          <w:tcPr>
            <w:tcW w:w="3118" w:type="dxa"/>
            <w:shd w:val="clear" w:color="auto" w:fill="auto"/>
          </w:tcPr>
          <w:p>
            <w:pPr>
              <w:pStyle w:val="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Подведение итогов урока</w:t>
            </w:r>
          </w:p>
          <w:p>
            <w:pPr>
              <w:pStyle w:val="18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Оценка деятельности учащихся. </w:t>
            </w: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беседа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>
            <w:pPr>
              <w:pStyle w:val="1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фронтальная </w:t>
            </w:r>
          </w:p>
          <w:p>
            <w:pPr>
              <w:pStyle w:val="13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shd w:val="clear" w:color="auto" w:fill="auto"/>
          </w:tcPr>
          <w:p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Подводит итоги урока Оценивает деятельность обучающихся.</w:t>
            </w:r>
          </w:p>
        </w:tc>
        <w:tc>
          <w:tcPr>
            <w:tcW w:w="2551" w:type="dxa"/>
            <w:shd w:val="clear" w:color="auto" w:fill="auto"/>
          </w:tcPr>
          <w:p>
            <w:pPr>
              <w:pStyle w:val="18"/>
              <w:jc w:val="center"/>
              <w:rPr>
                <w:color w:val="auto"/>
                <w:sz w:val="22"/>
                <w:szCs w:val="22"/>
              </w:rPr>
            </w:pPr>
            <w:r>
              <w:rPr>
                <w:sz w:val="22"/>
                <w:szCs w:val="22"/>
              </w:rPr>
              <w:t>Осознание результатов своей учебной деятельности</w:t>
            </w:r>
          </w:p>
        </w:tc>
        <w:tc>
          <w:tcPr>
            <w:tcW w:w="1553" w:type="dxa"/>
            <w:shd w:val="clear" w:color="auto" w:fill="auto"/>
          </w:tcPr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ОК1- ОК6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З1-З7;</w:t>
            </w:r>
          </w:p>
          <w:p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У1-У6;</w:t>
            </w:r>
          </w:p>
          <w:p>
            <w:pPr>
              <w:pStyle w:val="1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ПК 4.1; ПК4.4 </w:t>
            </w:r>
          </w:p>
        </w:tc>
      </w:tr>
    </w:tbl>
    <w:p>
      <w:pPr>
        <w:rPr>
          <w:b/>
          <w:sz w:val="22"/>
          <w:szCs w:val="22"/>
        </w:rPr>
      </w:pPr>
    </w:p>
    <w:p>
      <w:pPr>
        <w:rPr>
          <w:sz w:val="22"/>
          <w:szCs w:val="22"/>
        </w:rPr>
      </w:pPr>
    </w:p>
    <w:p>
      <w:pPr>
        <w:rPr>
          <w:sz w:val="22"/>
          <w:szCs w:val="22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spacing w:line="360" w:lineRule="auto"/>
        <w:ind w:firstLine="540"/>
        <w:jc w:val="both"/>
        <w:rPr>
          <w:b/>
          <w:sz w:val="24"/>
          <w:szCs w:val="24"/>
        </w:rPr>
        <w:sectPr>
          <w:pgSz w:w="16838" w:h="11906" w:orient="landscape"/>
          <w:pgMar w:top="851" w:right="1134" w:bottom="1134" w:left="719" w:header="708" w:footer="708" w:gutter="0"/>
          <w:cols w:space="708" w:num="1"/>
          <w:docGrid w:linePitch="360" w:charSpace="0"/>
        </w:sectPr>
      </w:pPr>
    </w:p>
    <w:p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Приложения</w:t>
      </w:r>
    </w:p>
    <w:p>
      <w:pPr>
        <w:spacing w:line="360" w:lineRule="auto"/>
        <w:ind w:firstLine="540"/>
        <w:jc w:val="both"/>
        <w:rPr>
          <w:b/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Приложение А (обязательное) – Блиц- опрос.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Приложение Б (обязательное) – электронная презентация по теме «Дефекты и усиление каменных конструкций». 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Приложение В (обязательное) –  проблемная ситуация (фотоматериалы визуального обследования кирпичных стен, столбов, простенков).</w:t>
      </w:r>
    </w:p>
    <w:p>
      <w:pPr>
        <w:spacing w:line="360" w:lineRule="auto"/>
        <w:rPr>
          <w:sz w:val="24"/>
          <w:szCs w:val="24"/>
        </w:rPr>
      </w:pPr>
      <w:r>
        <w:rPr>
          <w:rFonts w:ascii="TimesNewRoman" w:hAnsi="TimesNewRoman"/>
          <w:sz w:val="24"/>
        </w:rPr>
        <w:t>Приложение Г (обязательное) – листок рефлексии.</w:t>
      </w:r>
      <w:r>
        <w:t xml:space="preserve"> </w:t>
      </w:r>
      <w:r>
        <w:rPr>
          <w:sz w:val="24"/>
          <w:szCs w:val="24"/>
        </w:rPr>
        <w:t xml:space="preserve"> </w:t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Приложение А</w:t>
      </w:r>
    </w:p>
    <w:p>
      <w:pPr>
        <w:pStyle w:val="13"/>
        <w:spacing w:before="0" w:beforeAutospacing="0" w:after="0" w:afterAutospacing="0" w:line="360" w:lineRule="auto"/>
        <w:ind w:right="142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Блиц-опрос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1. Дать определение морального и  физического износа.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2. Назвать методы неразрушающего контроля строительных конструкций.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3. Назвать типичные дефекты каменных конструкций.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4. Назвать предельно-допустимые величины раскрытия трещин в изгибаемых элементах.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5. Перечислить приборы и оборудование, применяемые  при визуальном обследовании зданий.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6. Дать определение понятия «Реконструкция зданий» 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7. Дать определение понятия «Модернизация зданий»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8. Дать определение понятия «Реставрация зданий»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9. Перечислить варианты усиления кирпичных стен, столбов, простенков</w:t>
      </w:r>
    </w:p>
    <w:p>
      <w:pPr>
        <w:spacing w:line="360" w:lineRule="auto"/>
        <w:ind w:left="284" w:right="142" w:firstLine="567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10.Технологическая последовательность усиления кирпичных стен, столбов, простенков.</w:t>
      </w: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360" w:lineRule="auto"/>
        <w:ind w:right="139"/>
        <w:rPr>
          <w:rFonts w:ascii="GOST type B" w:hAnsi="GOST type B"/>
          <w:i/>
          <w:sz w:val="28"/>
          <w:szCs w:val="28"/>
          <w:lang w:eastAsia="en-US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4"/>
          <w:szCs w:val="24"/>
        </w:rPr>
      </w:pP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Б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Презентация к уроку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  <w:rPr>
          <w:b/>
          <w:sz w:val="28"/>
          <w:szCs w:val="28"/>
        </w:rPr>
      </w:pPr>
    </w:p>
    <w:p/>
    <w:p>
      <w:pPr>
        <w:pStyle w:val="14"/>
        <w:spacing w:line="360" w:lineRule="auto"/>
        <w:ind w:right="139"/>
        <w:rPr>
          <w:bCs/>
          <w:sz w:val="28"/>
          <w:szCs w:val="28"/>
        </w:rPr>
        <w:sectPr>
          <w:pgSz w:w="11906" w:h="16838"/>
          <w:pgMar w:top="1134" w:right="849" w:bottom="719" w:left="1134" w:header="708" w:footer="708" w:gutter="0"/>
          <w:cols w:space="708" w:num="1"/>
          <w:docGrid w:linePitch="360" w:charSpace="0"/>
        </w:sectPr>
      </w:pPr>
    </w:p>
    <w:p>
      <w:pPr>
        <w:pStyle w:val="14"/>
        <w:spacing w:line="360" w:lineRule="auto"/>
        <w:ind w:right="13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943225" cy="2207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3637" cy="22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943225" cy="22072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2712" cy="222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drawing>
          <wp:inline distT="0" distB="0" distL="0" distR="0">
            <wp:extent cx="2958465" cy="22193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2737" cy="222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Cs/>
          <w:sz w:val="28"/>
          <w:szCs w:val="28"/>
        </w:rPr>
        <w:drawing>
          <wp:inline distT="0" distB="0" distL="0" distR="0">
            <wp:extent cx="2996565" cy="22193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48" cy="2221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96565" cy="224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00375" cy="224980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3829" cy="22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00375" cy="22498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6618" cy="225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09900" cy="22574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9624" cy="22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22600" cy="22669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23021" cy="226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00375" cy="224980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9138" cy="225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71800" cy="22288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78705" cy="223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94025" cy="22453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00438" cy="225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09265" cy="22574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3636" cy="226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3060700" cy="2295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3345" cy="230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14650" cy="218567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21260" cy="219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82265" cy="216217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9144" cy="216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67025" cy="215011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75522" cy="215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92425" cy="21691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8515" cy="21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05125" cy="21786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8144" cy="218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14650" cy="21856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18328" cy="218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07665" cy="218122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11362" cy="2183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17825" cy="218821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18232" cy="21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82900" cy="21621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96729" cy="217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914650" cy="21856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15057" cy="218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86075" cy="216408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86479" cy="216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95600" cy="2171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99196" cy="2174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drawing>
          <wp:inline distT="0" distB="0" distL="0" distR="0">
            <wp:extent cx="2892425" cy="21691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98514" cy="217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  <w:sectPr>
          <w:type w:val="continuous"/>
          <w:pgSz w:w="11906" w:h="16838"/>
          <w:pgMar w:top="1134" w:right="849" w:bottom="719" w:left="1134" w:header="708" w:footer="708" w:gutter="0"/>
          <w:cols w:space="708" w:num="2"/>
          <w:docGrid w:linePitch="360" w:charSpace="0"/>
        </w:sectPr>
      </w:pPr>
    </w:p>
    <w:p>
      <w:pPr>
        <w:pStyle w:val="14"/>
        <w:spacing w:line="360" w:lineRule="auto"/>
        <w:ind w:right="139"/>
        <w:jc w:val="left"/>
        <w:rPr>
          <w:b w:val="0"/>
          <w:sz w:val="20"/>
          <w:szCs w:val="20"/>
        </w:rPr>
      </w:pPr>
    </w:p>
    <w:p>
      <w:pPr>
        <w:pStyle w:val="14"/>
        <w:spacing w:line="360" w:lineRule="auto"/>
        <w:ind w:right="139"/>
        <w:jc w:val="left"/>
        <w:rPr>
          <w:bCs/>
          <w:sz w:val="28"/>
          <w:szCs w:val="28"/>
        </w:rPr>
      </w:pPr>
      <w:r>
        <w:rPr>
          <w:b w:val="0"/>
          <w:sz w:val="20"/>
          <w:szCs w:val="20"/>
        </w:rPr>
        <w:t xml:space="preserve"> </w:t>
      </w: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Приложение В</w:t>
      </w:r>
    </w:p>
    <w:p>
      <w:pPr>
        <w:pStyle w:val="14"/>
        <w:spacing w:line="360" w:lineRule="auto"/>
        <w:ind w:right="139"/>
        <w:rPr>
          <w:bCs/>
          <w:sz w:val="28"/>
          <w:szCs w:val="28"/>
        </w:rPr>
      </w:pPr>
      <w:r>
        <w:rPr>
          <w:bCs/>
          <w:sz w:val="28"/>
          <w:szCs w:val="28"/>
        </w:rPr>
        <w:t>(обязательное)</w:t>
      </w:r>
    </w:p>
    <w:p>
      <w:pPr>
        <w:pStyle w:val="30"/>
        <w:ind w:left="709"/>
        <w:rPr>
          <w:sz w:val="28"/>
          <w:szCs w:val="28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На  основании фотоматериалов: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выявить дефекты каменных конструкций;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назвать причины возникновения дефектов;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определить физический износ;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дать оценку технического состояния конструкции балкона;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определить способы усиления каменных конструкций;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разработать последовательность работ в зависимости от способа усиления;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заполнить акт на скрытые работы;</w:t>
      </w:r>
    </w:p>
    <w:p>
      <w:pPr>
        <w:pStyle w:val="30"/>
        <w:ind w:left="709"/>
        <w:rPr>
          <w:sz w:val="28"/>
          <w:szCs w:val="28"/>
        </w:rPr>
      </w:pPr>
      <w:r>
        <w:rPr>
          <w:sz w:val="28"/>
          <w:szCs w:val="28"/>
        </w:rPr>
        <w:t>- вычертить схему усиления каменных конструкций.</w:t>
      </w:r>
    </w:p>
    <w:p>
      <w:pPr>
        <w:pStyle w:val="14"/>
        <w:spacing w:line="360" w:lineRule="auto"/>
        <w:rPr>
          <w:sz w:val="28"/>
          <w:szCs w:val="28"/>
        </w:rPr>
      </w:pPr>
    </w:p>
    <w:p>
      <w:pPr>
        <w:pStyle w:val="14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Задание №1                                                    Задание №2</w:t>
      </w:r>
    </w:p>
    <w:p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drawing>
          <wp:inline distT="0" distB="0" distL="0" distR="0">
            <wp:extent cx="3048000" cy="2286000"/>
            <wp:effectExtent l="0" t="0" r="0" b="0"/>
            <wp:docPr id="43017" name="Picture 9" descr="14032008(0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7" name="Picture 9" descr="14032008(034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</w:t>
      </w:r>
      <w:r>
        <w:rPr>
          <w:sz w:val="24"/>
          <w:szCs w:val="24"/>
        </w:rPr>
        <w:drawing>
          <wp:inline distT="0" distB="0" distL="0" distR="0">
            <wp:extent cx="2333625" cy="2971800"/>
            <wp:effectExtent l="0" t="0" r="9525" b="0"/>
            <wp:docPr id="43015" name="Picture 7" descr="DSC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5" name="Picture 7" descr="DSC000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sz w:val="24"/>
          <w:szCs w:val="24"/>
        </w:rPr>
      </w:pPr>
    </w:p>
    <w:p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Задание №3                                                           Задание №4</w:t>
      </w:r>
    </w:p>
    <w:p>
      <w:pPr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drawing>
          <wp:inline distT="0" distB="0" distL="0" distR="0">
            <wp:extent cx="2266950" cy="2402205"/>
            <wp:effectExtent l="0" t="0" r="0" b="0"/>
            <wp:docPr id="47114" name="Picture 10" descr="14032008(0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 descr="14032008(028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39" cy="240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drawing>
          <wp:inline distT="0" distB="0" distL="0" distR="0">
            <wp:extent cx="3143250" cy="2357120"/>
            <wp:effectExtent l="0" t="0" r="0" b="0"/>
            <wp:docPr id="47120" name="Picture 16" descr="14032008(0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0" name="Picture 16" descr="14032008(031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7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14"/>
        <w:spacing w:line="360" w:lineRule="auto"/>
        <w:ind w:right="139"/>
        <w:jc w:val="left"/>
        <w:rPr>
          <w:b w:val="0"/>
          <w:bCs/>
          <w:sz w:val="28"/>
          <w:szCs w:val="28"/>
        </w:rPr>
      </w:pPr>
      <w:r>
        <w:rPr>
          <w:b w:val="0"/>
          <w:sz w:val="24"/>
        </w:rPr>
        <w:t xml:space="preserve">                                                             </w:t>
      </w:r>
      <w:r>
        <w:rPr>
          <w:bCs/>
          <w:sz w:val="28"/>
          <w:szCs w:val="28"/>
        </w:rPr>
        <w:t>Приложение Г</w:t>
      </w:r>
    </w:p>
    <w:p>
      <w:pPr>
        <w:spacing w:line="480" w:lineRule="auto"/>
        <w:rPr>
          <w:color w:val="FF0000"/>
          <w:sz w:val="24"/>
          <w:szCs w:val="24"/>
        </w:rPr>
      </w:pPr>
      <w:r>
        <w:rPr>
          <w:rFonts w:ascii="TimesNewRoman" w:hAnsi="TimesNewRoman"/>
          <w:bCs/>
          <w:color w:val="000000"/>
          <w:sz w:val="28"/>
          <w:szCs w:val="28"/>
        </w:rPr>
        <w:t xml:space="preserve">                                                Листок рефлексии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1. На уроке я работал(а) активно / пассивно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2. Своей работой на уроке я доволен / не доволен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3. Урок для меня показался коротким / длинным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4. За урок я не устал / устал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5. Что вы ожидали от урока и что получили?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6. Какие этапы урока вы считаете наиболее удачными и почему?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7. Какие события (действия, мнения и т.п.) вызвали наиболее яркие ощущения?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8. Была ли польза от такого рода работы?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9. Что нового Вы узнали на уроке?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10. Перечислите в порядке убывания основные проблемы и трудности, которые</w:t>
      </w:r>
      <w:r>
        <w:rPr>
          <w:rFonts w:ascii="TimesNewRoman" w:hAnsi="TimesNewRoman"/>
          <w:color w:val="000000"/>
          <w:sz w:val="28"/>
          <w:szCs w:val="28"/>
        </w:rPr>
        <w:br w:type="textWrapping"/>
      </w:r>
      <w:r>
        <w:rPr>
          <w:rFonts w:ascii="TimesNewRoman" w:hAnsi="TimesNewRoman"/>
          <w:color w:val="000000"/>
          <w:sz w:val="28"/>
          <w:szCs w:val="28"/>
        </w:rPr>
        <w:t>вы испытывали во время урока. Какими способами вы их преодолевали?</w:t>
      </w:r>
    </w:p>
    <w:sectPr>
      <w:type w:val="continuous"/>
      <w:pgSz w:w="11906" w:h="16838"/>
      <w:pgMar w:top="1134" w:right="849" w:bottom="719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TimesNewRomanPSM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GOST type B">
    <w:panose1 w:val="020B0500000000000000"/>
    <w:charset w:val="CC"/>
    <w:family w:val="swiss"/>
    <w:pitch w:val="default"/>
    <w:sig w:usb0="00000201" w:usb1="00000000" w:usb2="00000000" w:usb3="00000000" w:csb0="00000005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482503"/>
    <w:multiLevelType w:val="multilevel"/>
    <w:tmpl w:val="75482503"/>
    <w:lvl w:ilvl="0" w:tentative="0">
      <w:start w:val="1"/>
      <w:numFmt w:val="decimal"/>
      <w:lvlText w:val="%1."/>
      <w:lvlJc w:val="left"/>
      <w:pPr>
        <w:tabs>
          <w:tab w:val="left" w:pos="1440"/>
        </w:tabs>
        <w:ind w:left="144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779311A7"/>
    <w:multiLevelType w:val="multilevel"/>
    <w:tmpl w:val="779311A7"/>
    <w:lvl w:ilvl="0" w:tentative="0">
      <w:start w:val="0"/>
      <w:numFmt w:val="bullet"/>
      <w:lvlText w:val="–"/>
      <w:lvlJc w:val="left"/>
      <w:pPr>
        <w:ind w:left="677" w:hanging="360"/>
      </w:pPr>
      <w:rPr>
        <w:rFonts w:hint="default" w:ascii="Times New Roman" w:hAnsi="Times New Roman" w:eastAsia="Times New Roman" w:cs="Times New Roman"/>
      </w:rPr>
    </w:lvl>
    <w:lvl w:ilvl="1" w:tentative="0">
      <w:start w:val="1"/>
      <w:numFmt w:val="bullet"/>
      <w:lvlText w:val="o"/>
      <w:lvlJc w:val="left"/>
      <w:pPr>
        <w:ind w:left="139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1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3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5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7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9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1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37" w:hanging="360"/>
      </w:pPr>
      <w:rPr>
        <w:rFonts w:hint="default" w:ascii="Wingdings" w:hAnsi="Wingdings"/>
      </w:rPr>
    </w:lvl>
  </w:abstractNum>
  <w:abstractNum w:abstractNumId="2">
    <w:nsid w:val="79FA5200"/>
    <w:multiLevelType w:val="singleLevel"/>
    <w:tmpl w:val="79FA5200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501A1"/>
    <w:rsid w:val="00031469"/>
    <w:rsid w:val="000368EB"/>
    <w:rsid w:val="00037324"/>
    <w:rsid w:val="0006710F"/>
    <w:rsid w:val="00073767"/>
    <w:rsid w:val="00090023"/>
    <w:rsid w:val="000C04B2"/>
    <w:rsid w:val="000C1E95"/>
    <w:rsid w:val="000E0658"/>
    <w:rsid w:val="000F1A14"/>
    <w:rsid w:val="00172688"/>
    <w:rsid w:val="0017304C"/>
    <w:rsid w:val="0018021B"/>
    <w:rsid w:val="001A09BE"/>
    <w:rsid w:val="001D2479"/>
    <w:rsid w:val="001E388D"/>
    <w:rsid w:val="00211189"/>
    <w:rsid w:val="00223B17"/>
    <w:rsid w:val="00230A75"/>
    <w:rsid w:val="002A6A32"/>
    <w:rsid w:val="002B468A"/>
    <w:rsid w:val="0031543F"/>
    <w:rsid w:val="003248D0"/>
    <w:rsid w:val="003260C8"/>
    <w:rsid w:val="00332FF1"/>
    <w:rsid w:val="00356544"/>
    <w:rsid w:val="00360418"/>
    <w:rsid w:val="00367FAA"/>
    <w:rsid w:val="00381C8F"/>
    <w:rsid w:val="003864B3"/>
    <w:rsid w:val="0038773D"/>
    <w:rsid w:val="0039239C"/>
    <w:rsid w:val="003A12C9"/>
    <w:rsid w:val="003C5ADA"/>
    <w:rsid w:val="003D34C6"/>
    <w:rsid w:val="004A6BA1"/>
    <w:rsid w:val="004B1E8F"/>
    <w:rsid w:val="004C7310"/>
    <w:rsid w:val="004D6F49"/>
    <w:rsid w:val="00507CA7"/>
    <w:rsid w:val="00532F65"/>
    <w:rsid w:val="00536F98"/>
    <w:rsid w:val="00545C6F"/>
    <w:rsid w:val="005501A1"/>
    <w:rsid w:val="005535E9"/>
    <w:rsid w:val="005D039C"/>
    <w:rsid w:val="005D1B5D"/>
    <w:rsid w:val="005D757E"/>
    <w:rsid w:val="005E79A2"/>
    <w:rsid w:val="00606D59"/>
    <w:rsid w:val="00634075"/>
    <w:rsid w:val="00640C5F"/>
    <w:rsid w:val="00641A13"/>
    <w:rsid w:val="00653C44"/>
    <w:rsid w:val="00656408"/>
    <w:rsid w:val="00660BCF"/>
    <w:rsid w:val="00695FB7"/>
    <w:rsid w:val="006A10D5"/>
    <w:rsid w:val="006D1145"/>
    <w:rsid w:val="007238D3"/>
    <w:rsid w:val="00731B45"/>
    <w:rsid w:val="007608A2"/>
    <w:rsid w:val="007620C9"/>
    <w:rsid w:val="00765D46"/>
    <w:rsid w:val="00774014"/>
    <w:rsid w:val="007818BC"/>
    <w:rsid w:val="0078606E"/>
    <w:rsid w:val="00795252"/>
    <w:rsid w:val="007B1D95"/>
    <w:rsid w:val="007B6795"/>
    <w:rsid w:val="007E04C8"/>
    <w:rsid w:val="007F260B"/>
    <w:rsid w:val="00887594"/>
    <w:rsid w:val="00893B32"/>
    <w:rsid w:val="00897D76"/>
    <w:rsid w:val="008B5C31"/>
    <w:rsid w:val="008B733A"/>
    <w:rsid w:val="008E3119"/>
    <w:rsid w:val="008F1EFF"/>
    <w:rsid w:val="00906CDB"/>
    <w:rsid w:val="00921955"/>
    <w:rsid w:val="00925B30"/>
    <w:rsid w:val="00955BAA"/>
    <w:rsid w:val="00984548"/>
    <w:rsid w:val="00995D37"/>
    <w:rsid w:val="009A54BC"/>
    <w:rsid w:val="009B7541"/>
    <w:rsid w:val="009D0F02"/>
    <w:rsid w:val="009E2683"/>
    <w:rsid w:val="009E5F84"/>
    <w:rsid w:val="00A0330E"/>
    <w:rsid w:val="00A533BD"/>
    <w:rsid w:val="00A60EFF"/>
    <w:rsid w:val="00A90E6C"/>
    <w:rsid w:val="00A92777"/>
    <w:rsid w:val="00A948F8"/>
    <w:rsid w:val="00AA1D27"/>
    <w:rsid w:val="00AB146B"/>
    <w:rsid w:val="00AC3186"/>
    <w:rsid w:val="00AD1920"/>
    <w:rsid w:val="00AF4888"/>
    <w:rsid w:val="00B73355"/>
    <w:rsid w:val="00B95403"/>
    <w:rsid w:val="00B95C2D"/>
    <w:rsid w:val="00BD52C9"/>
    <w:rsid w:val="00BF2808"/>
    <w:rsid w:val="00C42F03"/>
    <w:rsid w:val="00C54F88"/>
    <w:rsid w:val="00C70C49"/>
    <w:rsid w:val="00CB622B"/>
    <w:rsid w:val="00CC56B1"/>
    <w:rsid w:val="00CE1B03"/>
    <w:rsid w:val="00CE5764"/>
    <w:rsid w:val="00D01C6F"/>
    <w:rsid w:val="00D14B93"/>
    <w:rsid w:val="00D46EA4"/>
    <w:rsid w:val="00D717DF"/>
    <w:rsid w:val="00D81D79"/>
    <w:rsid w:val="00D863DD"/>
    <w:rsid w:val="00D93A8C"/>
    <w:rsid w:val="00DA45A6"/>
    <w:rsid w:val="00DD1978"/>
    <w:rsid w:val="00DD77A4"/>
    <w:rsid w:val="00DF18F3"/>
    <w:rsid w:val="00E02E89"/>
    <w:rsid w:val="00E13A68"/>
    <w:rsid w:val="00E30466"/>
    <w:rsid w:val="00E32701"/>
    <w:rsid w:val="00E417CB"/>
    <w:rsid w:val="00E71C98"/>
    <w:rsid w:val="00E8662A"/>
    <w:rsid w:val="00E95DCB"/>
    <w:rsid w:val="00EA1BBF"/>
    <w:rsid w:val="00EC38C6"/>
    <w:rsid w:val="00EF3DD1"/>
    <w:rsid w:val="00F41B85"/>
    <w:rsid w:val="00F54776"/>
    <w:rsid w:val="00F55558"/>
    <w:rsid w:val="00F66636"/>
    <w:rsid w:val="00F8388A"/>
    <w:rsid w:val="00FE7EF3"/>
    <w:rsid w:val="031B0466"/>
    <w:rsid w:val="066426A1"/>
    <w:rsid w:val="0A96173A"/>
    <w:rsid w:val="0E3F327D"/>
    <w:rsid w:val="2BDE0C0A"/>
    <w:rsid w:val="32DE42C4"/>
    <w:rsid w:val="3D971251"/>
    <w:rsid w:val="404B2A16"/>
    <w:rsid w:val="43444902"/>
    <w:rsid w:val="50780A77"/>
    <w:rsid w:val="513819D1"/>
    <w:rsid w:val="5EE60D2C"/>
    <w:rsid w:val="66E96BD5"/>
    <w:rsid w:val="67D434B1"/>
    <w:rsid w:val="6952711D"/>
    <w:rsid w:val="725E6F99"/>
    <w:rsid w:val="7A817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qFormat="1" w:uiPriority="0" w:semiHidden="0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lang w:val="ru-RU" w:eastAsia="ru-RU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link w:val="32"/>
    <w:semiHidden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qFormat/>
    <w:uiPriority w:val="0"/>
    <w:rPr>
      <w:color w:val="0000FF"/>
      <w:u w:val="single"/>
    </w:rPr>
  </w:style>
  <w:style w:type="character" w:styleId="7">
    <w:name w:val="Strong"/>
    <w:qFormat/>
    <w:uiPriority w:val="0"/>
    <w:rPr>
      <w:rFonts w:cs="Times New Roman"/>
      <w:b/>
      <w:bCs/>
    </w:rPr>
  </w:style>
  <w:style w:type="paragraph" w:styleId="8">
    <w:name w:val="Balloon Text"/>
    <w:basedOn w:val="1"/>
    <w:link w:val="26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9">
    <w:name w:val="Body Text 2"/>
    <w:basedOn w:val="1"/>
    <w:link w:val="24"/>
    <w:qFormat/>
    <w:uiPriority w:val="0"/>
    <w:pPr>
      <w:spacing w:after="120" w:line="480" w:lineRule="auto"/>
    </w:pPr>
    <w:rPr>
      <w:sz w:val="24"/>
      <w:szCs w:val="24"/>
    </w:rPr>
  </w:style>
  <w:style w:type="paragraph" w:styleId="10">
    <w:name w:val="Body Text Indent 3"/>
    <w:basedOn w:val="1"/>
    <w:link w:val="25"/>
    <w:unhideWhenUsed/>
    <w:qFormat/>
    <w:uiPriority w:val="0"/>
    <w:pPr>
      <w:spacing w:after="120"/>
      <w:ind w:left="283"/>
    </w:pPr>
    <w:rPr>
      <w:sz w:val="16"/>
      <w:szCs w:val="16"/>
    </w:rPr>
  </w:style>
  <w:style w:type="paragraph" w:styleId="11">
    <w:name w:val="Body Text"/>
    <w:basedOn w:val="1"/>
    <w:link w:val="23"/>
    <w:unhideWhenUsed/>
    <w:qFormat/>
    <w:uiPriority w:val="99"/>
    <w:pPr>
      <w:spacing w:after="120" w:line="276" w:lineRule="auto"/>
    </w:pPr>
    <w:rPr>
      <w:rFonts w:ascii="Calibri" w:hAnsi="Calibri" w:eastAsia="Calibri" w:cs="Calibri"/>
      <w:sz w:val="22"/>
      <w:szCs w:val="22"/>
      <w:lang w:eastAsia="en-US"/>
    </w:rPr>
  </w:style>
  <w:style w:type="paragraph" w:styleId="12">
    <w:name w:val="Body Text Indent"/>
    <w:basedOn w:val="1"/>
    <w:link w:val="27"/>
    <w:semiHidden/>
    <w:unhideWhenUsed/>
    <w:qFormat/>
    <w:uiPriority w:val="99"/>
    <w:pPr>
      <w:spacing w:after="120"/>
      <w:ind w:left="283"/>
    </w:p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paragraph" w:styleId="14">
    <w:name w:val="Subtitle"/>
    <w:basedOn w:val="1"/>
    <w:link w:val="31"/>
    <w:qFormat/>
    <w:uiPriority w:val="0"/>
    <w:pPr>
      <w:jc w:val="center"/>
    </w:pPr>
    <w:rPr>
      <w:b/>
      <w:sz w:val="36"/>
      <w:szCs w:val="24"/>
    </w:rPr>
  </w:style>
  <w:style w:type="table" w:styleId="15">
    <w:name w:val="Table Grid"/>
    <w:basedOn w:val="5"/>
    <w:qFormat/>
    <w:uiPriority w:val="0"/>
    <w:pPr>
      <w:spacing w:after="0" w:line="240" w:lineRule="auto"/>
    </w:pPr>
    <w:rPr>
      <w:rFonts w:ascii="Calibri" w:hAnsi="Calibri" w:eastAsia="Calibri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Заголовок 1 Знак"/>
    <w:basedOn w:val="4"/>
    <w:link w:val="2"/>
    <w:uiPriority w:val="0"/>
    <w:rPr>
      <w:rFonts w:ascii="Arial" w:hAnsi="Arial" w:eastAsia="Times New Roman" w:cs="Arial"/>
      <w:b/>
      <w:bCs/>
      <w:kern w:val="32"/>
      <w:sz w:val="32"/>
      <w:szCs w:val="32"/>
      <w:lang w:eastAsia="ru-RU"/>
    </w:rPr>
  </w:style>
  <w:style w:type="paragraph" w:customStyle="1" w:styleId="17">
    <w:name w:val="ConsPlusNormal"/>
    <w:uiPriority w:val="0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eastAsia="Times New Roman" w:cs="Arial"/>
      <w:lang w:val="ru-RU" w:eastAsia="ru-RU" w:bidi="ar-SA"/>
    </w:rPr>
  </w:style>
  <w:style w:type="paragraph" w:customStyle="1" w:styleId="18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19">
    <w:name w:val="fontstyle01"/>
    <w:basedOn w:val="4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character" w:customStyle="1" w:styleId="20">
    <w:name w:val="fontstyle21"/>
    <w:basedOn w:val="4"/>
    <w:qFormat/>
    <w:uiPriority w:val="0"/>
    <w:rPr>
      <w:rFonts w:hint="default" w:ascii="Times New Roman" w:hAnsi="Times New Roman" w:cs="Times New Roman"/>
      <w:color w:val="000000"/>
      <w:sz w:val="24"/>
      <w:szCs w:val="24"/>
    </w:rPr>
  </w:style>
  <w:style w:type="character" w:customStyle="1" w:styleId="21">
    <w:name w:val="fontstyle11"/>
    <w:basedOn w:val="4"/>
    <w:qFormat/>
    <w:uiPriority w:val="0"/>
    <w:rPr>
      <w:rFonts w:hint="default" w:ascii="Arial" w:hAnsi="Arial" w:cs="Arial"/>
      <w:color w:val="000000"/>
      <w:sz w:val="22"/>
      <w:szCs w:val="22"/>
    </w:rPr>
  </w:style>
  <w:style w:type="paragraph" w:styleId="22">
    <w:name w:val="List Paragraph"/>
    <w:basedOn w:val="1"/>
    <w:qFormat/>
    <w:uiPriority w:val="34"/>
    <w:pPr>
      <w:ind w:left="720"/>
      <w:contextualSpacing/>
    </w:pPr>
  </w:style>
  <w:style w:type="character" w:customStyle="1" w:styleId="23">
    <w:name w:val="Основной текст Знак"/>
    <w:basedOn w:val="4"/>
    <w:link w:val="11"/>
    <w:qFormat/>
    <w:uiPriority w:val="99"/>
    <w:rPr>
      <w:rFonts w:ascii="Calibri" w:hAnsi="Calibri" w:eastAsia="Calibri" w:cs="Calibri"/>
    </w:rPr>
  </w:style>
  <w:style w:type="character" w:customStyle="1" w:styleId="24">
    <w:name w:val="Основной текст 2 Знак"/>
    <w:basedOn w:val="4"/>
    <w:link w:val="9"/>
    <w:qFormat/>
    <w:uiPriority w:val="0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3 Знак"/>
    <w:basedOn w:val="4"/>
    <w:link w:val="10"/>
    <w:semiHidden/>
    <w:qFormat/>
    <w:uiPriority w:val="99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customStyle="1" w:styleId="26">
    <w:name w:val="Текст выноски Знак"/>
    <w:basedOn w:val="4"/>
    <w:link w:val="8"/>
    <w:semiHidden/>
    <w:qFormat/>
    <w:uiPriority w:val="99"/>
    <w:rPr>
      <w:rFonts w:ascii="Tahoma" w:hAnsi="Tahoma" w:eastAsia="Times New Roman" w:cs="Tahoma"/>
      <w:sz w:val="16"/>
      <w:szCs w:val="16"/>
      <w:lang w:eastAsia="ru-RU"/>
    </w:rPr>
  </w:style>
  <w:style w:type="character" w:customStyle="1" w:styleId="27">
    <w:name w:val="Основной текст с отступом Знак"/>
    <w:basedOn w:val="4"/>
    <w:link w:val="12"/>
    <w:semiHidden/>
    <w:qFormat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customStyle="1" w:styleId="28">
    <w:name w:val="c23"/>
    <w:basedOn w:val="1"/>
    <w:qFormat/>
    <w:uiPriority w:val="0"/>
    <w:pPr>
      <w:spacing w:before="100" w:beforeAutospacing="1" w:after="100" w:afterAutospacing="1"/>
    </w:pPr>
    <w:rPr>
      <w:sz w:val="24"/>
      <w:szCs w:val="24"/>
    </w:rPr>
  </w:style>
  <w:style w:type="character" w:customStyle="1" w:styleId="29">
    <w:name w:val="c7"/>
    <w:basedOn w:val="4"/>
    <w:qFormat/>
    <w:uiPriority w:val="0"/>
  </w:style>
  <w:style w:type="paragraph" w:styleId="30">
    <w:name w:val="No Spacing"/>
    <w:qFormat/>
    <w:uiPriority w:val="1"/>
    <w:pPr>
      <w:spacing w:after="0" w:line="240" w:lineRule="auto"/>
    </w:pPr>
    <w:rPr>
      <w:rFonts w:ascii="Times New Roman" w:hAnsi="Times New Roman" w:eastAsia="Times New Roman" w:cs="Times New Roman"/>
      <w:lang w:val="ru-RU" w:eastAsia="ru-RU" w:bidi="ar-SA"/>
    </w:rPr>
  </w:style>
  <w:style w:type="character" w:customStyle="1" w:styleId="31">
    <w:name w:val="Подзаголовок Знак"/>
    <w:basedOn w:val="4"/>
    <w:link w:val="14"/>
    <w:qFormat/>
    <w:uiPriority w:val="0"/>
    <w:rPr>
      <w:rFonts w:ascii="Times New Roman" w:hAnsi="Times New Roman" w:eastAsia="Times New Roman" w:cs="Times New Roman"/>
      <w:b/>
      <w:sz w:val="36"/>
      <w:szCs w:val="24"/>
      <w:lang w:eastAsia="ru-RU"/>
    </w:rPr>
  </w:style>
  <w:style w:type="character" w:customStyle="1" w:styleId="32">
    <w:name w:val="Заголовок 2 Знак"/>
    <w:basedOn w:val="4"/>
    <w:link w:val="3"/>
    <w:semiHidden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C6B1F5-5955-4BCF-8BA1-C9C128E548F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2052</Words>
  <Characters>11702</Characters>
  <Lines>97</Lines>
  <Paragraphs>27</Paragraphs>
  <TotalTime>1779</TotalTime>
  <ScaleCrop>false</ScaleCrop>
  <LinksUpToDate>false</LinksUpToDate>
  <CharactersWithSpaces>13727</CharactersWithSpaces>
  <Application>WPS Office_11.2.0.10294_F1E327BC-269C-435d-A152-05C5408002CA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2019-10-11T09:59:00Z</dcterms:created>
  <dc:creator>кафедра строительства</dc:creator>
  <cp:lastModifiedBy>klv</cp:lastModifiedBy>
  <cp:lastPrinted>2019-12-09T07:15:00Z</cp:lastPrinted>
  <dcterms:modified xsi:type="dcterms:W3CDTF">2022-05-23T05:52:31Z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1049-11.2.0.10294</vt:lpwstr>
  </property>
  <property fmtid="{D5CDD505-2E9C-101B-9397-08002B2CF9AE}" pid="3" name="ICV">
    <vt:lpwstr>354BC013686942DA9B7EB3751803754F</vt:lpwstr>
  </property>
</Properties>
</file>