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EA" w:rsidRDefault="00A800CB" w:rsidP="00A800CB">
      <w:pPr>
        <w:spacing w:line="360" w:lineRule="auto"/>
        <w:ind w:firstLine="709"/>
        <w:jc w:val="center"/>
        <w:rPr>
          <w:b/>
          <w:bCs/>
          <w:sz w:val="28"/>
          <w:szCs w:val="28"/>
          <w:lang w:eastAsia="ru-RU"/>
        </w:rPr>
      </w:pPr>
      <w:r w:rsidRPr="00A800CB">
        <w:rPr>
          <w:b/>
          <w:bCs/>
          <w:sz w:val="28"/>
          <w:szCs w:val="28"/>
          <w:lang w:eastAsia="ru-RU"/>
        </w:rPr>
        <w:t xml:space="preserve">Выступление к единому методическому дню: Подготовка к демонстрационному экзамену по специальности </w:t>
      </w:r>
    </w:p>
    <w:p w:rsidR="00A800CB" w:rsidRPr="00A800CB" w:rsidRDefault="00B052EA" w:rsidP="00A800CB">
      <w:pPr>
        <w:spacing w:line="360" w:lineRule="auto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09.02.07 </w:t>
      </w:r>
      <w:r w:rsidR="00A800CB" w:rsidRPr="00A800CB">
        <w:rPr>
          <w:b/>
          <w:bCs/>
          <w:sz w:val="28"/>
          <w:szCs w:val="28"/>
          <w:lang w:eastAsia="ru-RU"/>
        </w:rPr>
        <w:t>"Информационные системы и программирование"</w:t>
      </w:r>
    </w:p>
    <w:p w:rsidR="00A800CB" w:rsidRPr="00A800CB" w:rsidRDefault="00A800CB" w:rsidP="00A800CB">
      <w:pPr>
        <w:spacing w:line="360" w:lineRule="auto"/>
        <w:ind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t>Уважаемые коллеги!</w:t>
      </w:r>
    </w:p>
    <w:p w:rsidR="00A800CB" w:rsidRPr="00A800CB" w:rsidRDefault="00A800CB" w:rsidP="00A800CB">
      <w:pPr>
        <w:spacing w:line="360" w:lineRule="auto"/>
        <w:ind w:firstLine="709"/>
        <w:jc w:val="both"/>
        <w:rPr>
          <w:lang w:eastAsia="ru-RU"/>
        </w:rPr>
      </w:pPr>
      <w:r w:rsidRPr="00A800CB">
        <w:rPr>
          <w:lang w:eastAsia="ru-RU"/>
        </w:rPr>
        <w:t xml:space="preserve">Сегодня мы собрались, чтобы обсудить один из важнейших этапов подготовки наших студентов – демонстрационный экзамен по специальности "Информационные системы и программирование". Этот экзамен – не просто проверка знаний, это возможность для студентов продемонстрировать свои практические навыки, соответствующие требованиям современных работодателей. </w:t>
      </w:r>
    </w:p>
    <w:p w:rsidR="00A800CB" w:rsidRPr="00A800CB" w:rsidRDefault="00A800CB" w:rsidP="00A800CB">
      <w:pPr>
        <w:spacing w:line="360" w:lineRule="auto"/>
        <w:ind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t>Цель моего выступления:</w:t>
      </w:r>
      <w:r w:rsidRPr="00A800CB">
        <w:rPr>
          <w:lang w:eastAsia="ru-RU"/>
        </w:rPr>
        <w:t xml:space="preserve"> представить систематизированный подход к подготовке студентов к демонстрационному экзамену, поделиться опытом и обсудить эффективные стратегии.</w:t>
      </w:r>
    </w:p>
    <w:p w:rsidR="00A800CB" w:rsidRPr="00A800CB" w:rsidRDefault="00A800CB" w:rsidP="00A800CB">
      <w:pPr>
        <w:spacing w:line="360" w:lineRule="auto"/>
        <w:ind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t>1. Актуальность демонстрационного экзамена:</w:t>
      </w:r>
    </w:p>
    <w:p w:rsidR="00A800CB" w:rsidRPr="00A800CB" w:rsidRDefault="00A800CB" w:rsidP="00A800CB">
      <w:pPr>
        <w:numPr>
          <w:ilvl w:val="0"/>
          <w:numId w:val="1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t>Объективная оценка:</w:t>
      </w:r>
      <w:r w:rsidRPr="00A800CB">
        <w:rPr>
          <w:lang w:eastAsia="ru-RU"/>
        </w:rPr>
        <w:t xml:space="preserve"> Демонстрационный экзамен предоставляет объективную и независимую оценку уровня подготовки выпускников, соответствующую профессиональным стандартам.</w:t>
      </w:r>
    </w:p>
    <w:p w:rsidR="00A800CB" w:rsidRPr="00A800CB" w:rsidRDefault="00A800CB" w:rsidP="00A800CB">
      <w:pPr>
        <w:numPr>
          <w:ilvl w:val="0"/>
          <w:numId w:val="1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t>Признание работодателями:</w:t>
      </w:r>
      <w:r w:rsidRPr="00A800CB">
        <w:rPr>
          <w:lang w:eastAsia="ru-RU"/>
        </w:rPr>
        <w:t xml:space="preserve"> Успешная сдача экзамена значительно повышает конкурентоспособность наших выпускников на рынке труда, являясь серьезным преимуществом при трудоустройстве.</w:t>
      </w:r>
    </w:p>
    <w:p w:rsidR="00A800CB" w:rsidRPr="00A800CB" w:rsidRDefault="00A800CB" w:rsidP="00A800CB">
      <w:pPr>
        <w:numPr>
          <w:ilvl w:val="0"/>
          <w:numId w:val="1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t>Повышение качества образования:</w:t>
      </w:r>
      <w:r w:rsidRPr="00A800CB">
        <w:rPr>
          <w:lang w:eastAsia="ru-RU"/>
        </w:rPr>
        <w:t xml:space="preserve"> Подготовка к экзамену стимулирует студентов к более глубокому изучению материала и развитию практических навыков.</w:t>
      </w:r>
    </w:p>
    <w:p w:rsidR="00A800CB" w:rsidRPr="00A800CB" w:rsidRDefault="00A800CB" w:rsidP="00A800CB">
      <w:pPr>
        <w:numPr>
          <w:ilvl w:val="0"/>
          <w:numId w:val="1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t>Соответствие требованиям ФГОС:</w:t>
      </w:r>
      <w:r w:rsidRPr="00A800CB">
        <w:rPr>
          <w:lang w:eastAsia="ru-RU"/>
        </w:rPr>
        <w:t xml:space="preserve"> Демонстрационный экзамен является важной частью процедуры государственной итоговой аттестации.</w:t>
      </w:r>
    </w:p>
    <w:p w:rsidR="00A800CB" w:rsidRPr="00A800CB" w:rsidRDefault="00A800CB" w:rsidP="00A800CB">
      <w:pPr>
        <w:spacing w:line="360" w:lineRule="auto"/>
        <w:ind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t>2. Этапы подготовки к демонстрационному экзамену:</w:t>
      </w:r>
    </w:p>
    <w:p w:rsidR="00A800CB" w:rsidRPr="00A800CB" w:rsidRDefault="00A800CB" w:rsidP="00A800CB">
      <w:pPr>
        <w:spacing w:line="360" w:lineRule="auto"/>
        <w:ind w:firstLine="709"/>
        <w:jc w:val="both"/>
        <w:rPr>
          <w:lang w:eastAsia="ru-RU"/>
        </w:rPr>
      </w:pPr>
      <w:r w:rsidRPr="00A800CB">
        <w:rPr>
          <w:lang w:eastAsia="ru-RU"/>
        </w:rPr>
        <w:t>Подготовка к демонстрационному экзамену – это многоэтапный процесс, требующий системного подхода и вовлеченности всех преподавателей.</w:t>
      </w:r>
    </w:p>
    <w:p w:rsidR="00A800CB" w:rsidRPr="00A800CB" w:rsidRDefault="00A800CB" w:rsidP="00A800CB">
      <w:pPr>
        <w:numPr>
          <w:ilvl w:val="0"/>
          <w:numId w:val="2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t>2.1. Ознакомление с нормативной базой и документацией:</w:t>
      </w:r>
    </w:p>
    <w:p w:rsidR="00A800CB" w:rsidRPr="00A800CB" w:rsidRDefault="00A800CB" w:rsidP="00A800CB">
      <w:pPr>
        <w:numPr>
          <w:ilvl w:val="1"/>
          <w:numId w:val="2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lang w:eastAsia="ru-RU"/>
        </w:rPr>
        <w:t>Изучение профессиональных стандартов и соответствующих компетенций.</w:t>
      </w:r>
    </w:p>
    <w:p w:rsidR="00A800CB" w:rsidRPr="00A800CB" w:rsidRDefault="00A800CB" w:rsidP="00A800CB">
      <w:pPr>
        <w:numPr>
          <w:ilvl w:val="1"/>
          <w:numId w:val="2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lang w:eastAsia="ru-RU"/>
        </w:rPr>
        <w:t>Тщательный анализ комплектов оценочной документации (КОД), включающих:</w:t>
      </w:r>
    </w:p>
    <w:p w:rsidR="00A800CB" w:rsidRPr="00A800CB" w:rsidRDefault="00A800CB" w:rsidP="00A800CB">
      <w:pPr>
        <w:numPr>
          <w:ilvl w:val="2"/>
          <w:numId w:val="2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lang w:eastAsia="ru-RU"/>
        </w:rPr>
        <w:t>Спецификацию</w:t>
      </w:r>
    </w:p>
    <w:p w:rsidR="00A800CB" w:rsidRPr="00A800CB" w:rsidRDefault="00A800CB" w:rsidP="00A800CB">
      <w:pPr>
        <w:numPr>
          <w:ilvl w:val="2"/>
          <w:numId w:val="2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lang w:eastAsia="ru-RU"/>
        </w:rPr>
        <w:t>Комплект экзаменационных заданий</w:t>
      </w:r>
    </w:p>
    <w:p w:rsidR="00A800CB" w:rsidRPr="00A800CB" w:rsidRDefault="00A800CB" w:rsidP="00A800CB">
      <w:pPr>
        <w:numPr>
          <w:ilvl w:val="2"/>
          <w:numId w:val="2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lang w:eastAsia="ru-RU"/>
        </w:rPr>
        <w:t>Критерии оценки</w:t>
      </w:r>
    </w:p>
    <w:p w:rsidR="00A800CB" w:rsidRPr="00A800CB" w:rsidRDefault="00A800CB" w:rsidP="00A800CB">
      <w:pPr>
        <w:numPr>
          <w:ilvl w:val="2"/>
          <w:numId w:val="2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lang w:eastAsia="ru-RU"/>
        </w:rPr>
        <w:t>Инструкции для экспертов и экзаменующихся</w:t>
      </w:r>
    </w:p>
    <w:p w:rsidR="00A800CB" w:rsidRPr="00A800CB" w:rsidRDefault="00A800CB" w:rsidP="00A800CB">
      <w:pPr>
        <w:numPr>
          <w:ilvl w:val="0"/>
          <w:numId w:val="2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t>2.2. Формирование теоретической базы:</w:t>
      </w:r>
    </w:p>
    <w:p w:rsidR="00A800CB" w:rsidRPr="00A800CB" w:rsidRDefault="00A800CB" w:rsidP="00A800CB">
      <w:pPr>
        <w:numPr>
          <w:ilvl w:val="1"/>
          <w:numId w:val="2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lang w:eastAsia="ru-RU"/>
        </w:rPr>
        <w:lastRenderedPageBreak/>
        <w:t>Акцент на теоретические знания, необходимые для выполнения практических задач, предусмотренных КОД.</w:t>
      </w:r>
    </w:p>
    <w:p w:rsidR="00A800CB" w:rsidRPr="00A800CB" w:rsidRDefault="00A800CB" w:rsidP="00A800CB">
      <w:pPr>
        <w:numPr>
          <w:ilvl w:val="1"/>
          <w:numId w:val="2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lang w:eastAsia="ru-RU"/>
        </w:rPr>
        <w:t>Интеграция теоретического материала с реальными задачами из профессиональной деятельности.</w:t>
      </w:r>
    </w:p>
    <w:p w:rsidR="00A800CB" w:rsidRPr="00A800CB" w:rsidRDefault="00A800CB" w:rsidP="00A800CB">
      <w:pPr>
        <w:numPr>
          <w:ilvl w:val="1"/>
          <w:numId w:val="2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lang w:eastAsia="ru-RU"/>
        </w:rPr>
        <w:t>Использование интерактивных методов обучения (кейсы, дискуссии, проектная деятельность).</w:t>
      </w:r>
    </w:p>
    <w:p w:rsidR="00A800CB" w:rsidRPr="00A800CB" w:rsidRDefault="00A800CB" w:rsidP="00A800CB">
      <w:pPr>
        <w:numPr>
          <w:ilvl w:val="0"/>
          <w:numId w:val="2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t>2.3. Развитие практических навыков:</w:t>
      </w:r>
    </w:p>
    <w:p w:rsidR="00A800CB" w:rsidRPr="00A800CB" w:rsidRDefault="00A800CB" w:rsidP="00A800CB">
      <w:pPr>
        <w:numPr>
          <w:ilvl w:val="1"/>
          <w:numId w:val="2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t>Основной фокус:</w:t>
      </w:r>
      <w:r w:rsidRPr="00A800CB">
        <w:rPr>
          <w:lang w:eastAsia="ru-RU"/>
        </w:rPr>
        <w:t xml:space="preserve"> практическая отработка навыков, предусмотренных КОД.</w:t>
      </w:r>
    </w:p>
    <w:p w:rsidR="00A800CB" w:rsidRPr="00A800CB" w:rsidRDefault="00A800CB" w:rsidP="00A800CB">
      <w:pPr>
        <w:numPr>
          <w:ilvl w:val="1"/>
          <w:numId w:val="2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t>Использование профессионального программного обеспечения:</w:t>
      </w:r>
      <w:r w:rsidRPr="00A800CB">
        <w:rPr>
          <w:lang w:eastAsia="ru-RU"/>
        </w:rPr>
        <w:t xml:space="preserve"> обеспечение доступа студентов к </w:t>
      </w:r>
      <w:proofErr w:type="gramStart"/>
      <w:r w:rsidRPr="00A800CB">
        <w:rPr>
          <w:lang w:eastAsia="ru-RU"/>
        </w:rPr>
        <w:t>актуальному</w:t>
      </w:r>
      <w:proofErr w:type="gramEnd"/>
      <w:r w:rsidRPr="00A800CB">
        <w:rPr>
          <w:lang w:eastAsia="ru-RU"/>
        </w:rPr>
        <w:t xml:space="preserve"> лицензионному ПО (среды разработки, системы управления базами данных и т.д.).</w:t>
      </w:r>
    </w:p>
    <w:p w:rsidR="00A800CB" w:rsidRPr="00A800CB" w:rsidRDefault="00A800CB" w:rsidP="00A800CB">
      <w:pPr>
        <w:numPr>
          <w:ilvl w:val="1"/>
          <w:numId w:val="2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t>Создание модельных ситуаций:</w:t>
      </w:r>
      <w:r w:rsidRPr="00A800CB">
        <w:rPr>
          <w:lang w:eastAsia="ru-RU"/>
        </w:rPr>
        <w:t xml:space="preserve"> организация тренировочных сессий, максимально приближенных к реальным условиям экзамена.</w:t>
      </w:r>
    </w:p>
    <w:p w:rsidR="00A800CB" w:rsidRPr="00A800CB" w:rsidRDefault="00A800CB" w:rsidP="00A800CB">
      <w:pPr>
        <w:numPr>
          <w:ilvl w:val="2"/>
          <w:numId w:val="2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lang w:eastAsia="ru-RU"/>
        </w:rPr>
        <w:t>Самостоятельное выполнение заданий по образцу.</w:t>
      </w:r>
    </w:p>
    <w:p w:rsidR="00A800CB" w:rsidRPr="00A800CB" w:rsidRDefault="00A800CB" w:rsidP="00A800CB">
      <w:pPr>
        <w:numPr>
          <w:ilvl w:val="2"/>
          <w:numId w:val="2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lang w:eastAsia="ru-RU"/>
        </w:rPr>
        <w:t>Выполнение заданий под наблюдением преподавателя.</w:t>
      </w:r>
    </w:p>
    <w:p w:rsidR="00A800CB" w:rsidRPr="00A800CB" w:rsidRDefault="00A800CB" w:rsidP="00A800CB">
      <w:pPr>
        <w:numPr>
          <w:ilvl w:val="2"/>
          <w:numId w:val="2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lang w:eastAsia="ru-RU"/>
        </w:rPr>
        <w:t>Участие в конкурсах профессионального мастерства.</w:t>
      </w:r>
    </w:p>
    <w:p w:rsidR="00A800CB" w:rsidRPr="00A800CB" w:rsidRDefault="00A800CB" w:rsidP="00A800CB">
      <w:pPr>
        <w:numPr>
          <w:ilvl w:val="0"/>
          <w:numId w:val="2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t>2.4. Мониторинг прогресса и коррекция ошибок:</w:t>
      </w:r>
    </w:p>
    <w:p w:rsidR="00A800CB" w:rsidRPr="00A800CB" w:rsidRDefault="00A800CB" w:rsidP="00A800CB">
      <w:pPr>
        <w:numPr>
          <w:ilvl w:val="1"/>
          <w:numId w:val="2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lang w:eastAsia="ru-RU"/>
        </w:rPr>
        <w:t xml:space="preserve">Регулярный </w:t>
      </w:r>
      <w:proofErr w:type="gramStart"/>
      <w:r w:rsidRPr="00A800CB">
        <w:rPr>
          <w:lang w:eastAsia="ru-RU"/>
        </w:rPr>
        <w:t>контроль за</w:t>
      </w:r>
      <w:proofErr w:type="gramEnd"/>
      <w:r w:rsidRPr="00A800CB">
        <w:rPr>
          <w:lang w:eastAsia="ru-RU"/>
        </w:rPr>
        <w:t xml:space="preserve"> уровнем освоения материала.</w:t>
      </w:r>
    </w:p>
    <w:p w:rsidR="00A800CB" w:rsidRPr="00A800CB" w:rsidRDefault="00A800CB" w:rsidP="00A800CB">
      <w:pPr>
        <w:numPr>
          <w:ilvl w:val="1"/>
          <w:numId w:val="2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lang w:eastAsia="ru-RU"/>
        </w:rPr>
        <w:t>Проведение промежуточных аттестаций в формате, максимально приближенном к демонстрационному экзамену.</w:t>
      </w:r>
    </w:p>
    <w:p w:rsidR="00A800CB" w:rsidRPr="00A800CB" w:rsidRDefault="00A800CB" w:rsidP="00A800CB">
      <w:pPr>
        <w:numPr>
          <w:ilvl w:val="1"/>
          <w:numId w:val="2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lang w:eastAsia="ru-RU"/>
        </w:rPr>
        <w:t>Анализ ошибок и разработка индивидуальных рекомендаций для каждого студента.</w:t>
      </w:r>
    </w:p>
    <w:p w:rsidR="00A800CB" w:rsidRPr="00A800CB" w:rsidRDefault="00A800CB" w:rsidP="00A800CB">
      <w:pPr>
        <w:numPr>
          <w:ilvl w:val="1"/>
          <w:numId w:val="2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lang w:eastAsia="ru-RU"/>
        </w:rPr>
        <w:t>Использование обратной связи для корректировки учебного процесса.</w:t>
      </w:r>
    </w:p>
    <w:p w:rsidR="00A800CB" w:rsidRPr="00A800CB" w:rsidRDefault="00A800CB" w:rsidP="00A800CB">
      <w:pPr>
        <w:numPr>
          <w:ilvl w:val="0"/>
          <w:numId w:val="2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t>2.5. Психологическая подготовка:</w:t>
      </w:r>
    </w:p>
    <w:p w:rsidR="00A800CB" w:rsidRPr="00A800CB" w:rsidRDefault="00A800CB" w:rsidP="00A800CB">
      <w:pPr>
        <w:numPr>
          <w:ilvl w:val="1"/>
          <w:numId w:val="2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lang w:eastAsia="ru-RU"/>
        </w:rPr>
        <w:t>Разъяснение процедуры экзамена, критериев оценки и возможных стратегий поведения.</w:t>
      </w:r>
    </w:p>
    <w:p w:rsidR="00A800CB" w:rsidRPr="00A800CB" w:rsidRDefault="00A800CB" w:rsidP="00A800CB">
      <w:pPr>
        <w:numPr>
          <w:ilvl w:val="1"/>
          <w:numId w:val="2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lang w:eastAsia="ru-RU"/>
        </w:rPr>
        <w:t>Обучение техникам управления стрессом и повышения уверенности в себе.</w:t>
      </w:r>
    </w:p>
    <w:p w:rsidR="00A800CB" w:rsidRPr="00A800CB" w:rsidRDefault="00A800CB" w:rsidP="00A800CB">
      <w:pPr>
        <w:numPr>
          <w:ilvl w:val="1"/>
          <w:numId w:val="2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lang w:eastAsia="ru-RU"/>
        </w:rPr>
        <w:t>Проведение имитационных экзаменов с участием независимых экспертов.</w:t>
      </w:r>
    </w:p>
    <w:p w:rsidR="00A800CB" w:rsidRPr="00A800CB" w:rsidRDefault="00A800CB" w:rsidP="00A800CB">
      <w:pPr>
        <w:spacing w:line="360" w:lineRule="auto"/>
        <w:ind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t>3. Методические рекомендации:</w:t>
      </w:r>
    </w:p>
    <w:p w:rsidR="00A800CB" w:rsidRPr="00A800CB" w:rsidRDefault="00A800CB" w:rsidP="00A800CB">
      <w:pPr>
        <w:numPr>
          <w:ilvl w:val="0"/>
          <w:numId w:val="3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t>3.1 Индивидуальный подход:</w:t>
      </w:r>
      <w:r w:rsidRPr="00A800CB">
        <w:rPr>
          <w:lang w:eastAsia="ru-RU"/>
        </w:rPr>
        <w:t xml:space="preserve"> Учитывайте индивидуальные особенности каждого студента, его сильные и слабые стороны. Разрабатывайте индивидуальные образовательные траектории, позволяющие каждому студенту достичь максимального прогресса.</w:t>
      </w:r>
    </w:p>
    <w:p w:rsidR="00A800CB" w:rsidRPr="00A800CB" w:rsidRDefault="00A800CB" w:rsidP="00A800CB">
      <w:pPr>
        <w:numPr>
          <w:ilvl w:val="0"/>
          <w:numId w:val="3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lastRenderedPageBreak/>
        <w:t>3.2 Практико-ориентированное обучение:</w:t>
      </w:r>
      <w:r w:rsidRPr="00A800CB">
        <w:rPr>
          <w:lang w:eastAsia="ru-RU"/>
        </w:rPr>
        <w:t xml:space="preserve"> Сделайте акцент на практической работе над реальными проектами, используя современное программное обеспечение и технологии.</w:t>
      </w:r>
    </w:p>
    <w:p w:rsidR="00A800CB" w:rsidRPr="00A800CB" w:rsidRDefault="00A800CB" w:rsidP="00A800CB">
      <w:pPr>
        <w:numPr>
          <w:ilvl w:val="0"/>
          <w:numId w:val="3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t>3.3 Сотрудничество с работодателями:</w:t>
      </w:r>
      <w:r w:rsidRPr="00A800CB">
        <w:rPr>
          <w:lang w:eastAsia="ru-RU"/>
        </w:rPr>
        <w:t xml:space="preserve"> Привлекайте представителей предприятий к проведению мастер-классов, тренингов и консультаций.</w:t>
      </w:r>
    </w:p>
    <w:p w:rsidR="00A800CB" w:rsidRPr="00A800CB" w:rsidRDefault="00A800CB" w:rsidP="00A800CB">
      <w:pPr>
        <w:numPr>
          <w:ilvl w:val="0"/>
          <w:numId w:val="3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t>3.4 Использование современных образовательных технологий:</w:t>
      </w:r>
      <w:r w:rsidRPr="00A800CB">
        <w:rPr>
          <w:lang w:eastAsia="ru-RU"/>
        </w:rPr>
        <w:t xml:space="preserve"> Внедряйте в учебный процесс онлайн-курсы, симуляторы, виртуальные лаборатории и другие современные средства обучения.</w:t>
      </w:r>
    </w:p>
    <w:p w:rsidR="00A800CB" w:rsidRPr="00A800CB" w:rsidRDefault="00A800CB" w:rsidP="00A800CB">
      <w:pPr>
        <w:numPr>
          <w:ilvl w:val="0"/>
          <w:numId w:val="3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t>3.5 Мотивация и поддержка:</w:t>
      </w:r>
      <w:r w:rsidRPr="00A800CB">
        <w:rPr>
          <w:lang w:eastAsia="ru-RU"/>
        </w:rPr>
        <w:t xml:space="preserve"> Создавайте благоприятную атмосферу в группе, поощряйте студентов к активному участию в учебном процессе и оказывайте им поддержку на всех этапах подготовки.</w:t>
      </w:r>
    </w:p>
    <w:p w:rsidR="00A800CB" w:rsidRPr="00A800CB" w:rsidRDefault="00A800CB" w:rsidP="00A800CB">
      <w:pPr>
        <w:spacing w:line="360" w:lineRule="auto"/>
        <w:ind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t>4. Роль преподавателя:</w:t>
      </w:r>
    </w:p>
    <w:p w:rsidR="00A800CB" w:rsidRPr="00A800CB" w:rsidRDefault="00A800CB" w:rsidP="00A800CB">
      <w:pPr>
        <w:spacing w:line="360" w:lineRule="auto"/>
        <w:ind w:firstLine="709"/>
        <w:jc w:val="both"/>
        <w:rPr>
          <w:lang w:eastAsia="ru-RU"/>
        </w:rPr>
      </w:pPr>
      <w:r w:rsidRPr="00A800CB">
        <w:rPr>
          <w:lang w:eastAsia="ru-RU"/>
        </w:rPr>
        <w:t>Преподаватель в процессе подготовки к демонстрационному экзамену выступает в роли:</w:t>
      </w:r>
    </w:p>
    <w:p w:rsidR="00A800CB" w:rsidRPr="00A800CB" w:rsidRDefault="00A800CB" w:rsidP="00A800CB">
      <w:pPr>
        <w:numPr>
          <w:ilvl w:val="0"/>
          <w:numId w:val="4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t>Организатора:</w:t>
      </w:r>
      <w:r w:rsidRPr="00A800CB">
        <w:rPr>
          <w:lang w:eastAsia="ru-RU"/>
        </w:rPr>
        <w:t xml:space="preserve"> Планирует и координирует учебный процесс.</w:t>
      </w:r>
    </w:p>
    <w:p w:rsidR="00A800CB" w:rsidRPr="00A800CB" w:rsidRDefault="00A800CB" w:rsidP="00A800CB">
      <w:pPr>
        <w:numPr>
          <w:ilvl w:val="0"/>
          <w:numId w:val="4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t>Наставника:</w:t>
      </w:r>
      <w:r w:rsidRPr="00A800CB">
        <w:rPr>
          <w:lang w:eastAsia="ru-RU"/>
        </w:rPr>
        <w:t xml:space="preserve"> Помогает студентам освоить необходимый материал и развить практические навыки.</w:t>
      </w:r>
    </w:p>
    <w:p w:rsidR="00A800CB" w:rsidRPr="00A800CB" w:rsidRDefault="00A800CB" w:rsidP="00A800CB">
      <w:pPr>
        <w:numPr>
          <w:ilvl w:val="0"/>
          <w:numId w:val="4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t>Эксперта:</w:t>
      </w:r>
      <w:r w:rsidRPr="00A800CB">
        <w:rPr>
          <w:lang w:eastAsia="ru-RU"/>
        </w:rPr>
        <w:t xml:space="preserve"> Оценивает уровень подготовки студентов и дает им обратную связь.</w:t>
      </w:r>
    </w:p>
    <w:p w:rsidR="00A800CB" w:rsidRPr="00A800CB" w:rsidRDefault="00A800CB" w:rsidP="00A800CB">
      <w:pPr>
        <w:numPr>
          <w:ilvl w:val="0"/>
          <w:numId w:val="4"/>
        </w:numPr>
        <w:spacing w:line="360" w:lineRule="auto"/>
        <w:ind w:left="0" w:firstLine="709"/>
        <w:jc w:val="both"/>
        <w:rPr>
          <w:lang w:eastAsia="ru-RU"/>
        </w:rPr>
      </w:pPr>
      <w:proofErr w:type="spellStart"/>
      <w:r w:rsidRPr="00A800CB">
        <w:rPr>
          <w:b/>
          <w:bCs/>
          <w:lang w:eastAsia="ru-RU"/>
        </w:rPr>
        <w:t>Мотиватора</w:t>
      </w:r>
      <w:proofErr w:type="spellEnd"/>
      <w:r w:rsidRPr="00A800CB">
        <w:rPr>
          <w:b/>
          <w:bCs/>
          <w:lang w:eastAsia="ru-RU"/>
        </w:rPr>
        <w:t>:</w:t>
      </w:r>
      <w:r w:rsidRPr="00A800CB">
        <w:rPr>
          <w:lang w:eastAsia="ru-RU"/>
        </w:rPr>
        <w:t xml:space="preserve"> Вдохновляет студентов на достижение высоких результатов.</w:t>
      </w:r>
    </w:p>
    <w:p w:rsidR="00A800CB" w:rsidRPr="00A800CB" w:rsidRDefault="00A800CB" w:rsidP="00A800CB">
      <w:pPr>
        <w:spacing w:line="360" w:lineRule="auto"/>
        <w:ind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t>5. Перспективы развития:</w:t>
      </w:r>
    </w:p>
    <w:p w:rsidR="00A800CB" w:rsidRPr="00A800CB" w:rsidRDefault="00A800CB" w:rsidP="00A800CB">
      <w:pPr>
        <w:numPr>
          <w:ilvl w:val="0"/>
          <w:numId w:val="5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t>Постоянное обновление учебных программ:</w:t>
      </w:r>
      <w:r w:rsidRPr="00A800CB">
        <w:rPr>
          <w:lang w:eastAsia="ru-RU"/>
        </w:rPr>
        <w:t xml:space="preserve"> Учет изменений в профессиональных стандартах и требований рынка труда.</w:t>
      </w:r>
    </w:p>
    <w:p w:rsidR="00A800CB" w:rsidRPr="00A800CB" w:rsidRDefault="00A800CB" w:rsidP="00A800CB">
      <w:pPr>
        <w:numPr>
          <w:ilvl w:val="0"/>
          <w:numId w:val="5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t>Развитие партнерских отношений с предприятиями:</w:t>
      </w:r>
      <w:r w:rsidRPr="00A800CB">
        <w:rPr>
          <w:lang w:eastAsia="ru-RU"/>
        </w:rPr>
        <w:t xml:space="preserve"> Организация стажировок и практик на ведущих предприятиях отрасли.</w:t>
      </w:r>
    </w:p>
    <w:p w:rsidR="00A800CB" w:rsidRPr="00A800CB" w:rsidRDefault="00A800CB" w:rsidP="00A800CB">
      <w:pPr>
        <w:numPr>
          <w:ilvl w:val="0"/>
          <w:numId w:val="5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t>Внедрение международных стандартов:</w:t>
      </w:r>
      <w:r w:rsidRPr="00A800CB">
        <w:rPr>
          <w:lang w:eastAsia="ru-RU"/>
        </w:rPr>
        <w:t xml:space="preserve"> Подготовка студентов к международным профессиональным экзаменам и сертификациям.</w:t>
      </w:r>
    </w:p>
    <w:p w:rsidR="00A800CB" w:rsidRPr="00A800CB" w:rsidRDefault="00A800CB" w:rsidP="00A800CB">
      <w:pPr>
        <w:numPr>
          <w:ilvl w:val="0"/>
          <w:numId w:val="5"/>
        </w:numPr>
        <w:spacing w:line="360" w:lineRule="auto"/>
        <w:ind w:left="0"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t>Повышение квалификации преподавателей:</w:t>
      </w:r>
      <w:r w:rsidRPr="00A800CB">
        <w:rPr>
          <w:lang w:eastAsia="ru-RU"/>
        </w:rPr>
        <w:t xml:space="preserve"> Обучение современным методикам преподавания и технологиям.</w:t>
      </w:r>
    </w:p>
    <w:p w:rsidR="00A800CB" w:rsidRPr="00A800CB" w:rsidRDefault="00A800CB" w:rsidP="00A800CB">
      <w:pPr>
        <w:spacing w:line="360" w:lineRule="auto"/>
        <w:ind w:firstLine="709"/>
        <w:jc w:val="both"/>
        <w:rPr>
          <w:lang w:eastAsia="ru-RU"/>
        </w:rPr>
      </w:pPr>
      <w:r w:rsidRPr="00A800CB">
        <w:rPr>
          <w:b/>
          <w:bCs/>
          <w:lang w:eastAsia="ru-RU"/>
        </w:rPr>
        <w:t>Заключение:</w:t>
      </w:r>
    </w:p>
    <w:p w:rsidR="00A800CB" w:rsidRPr="00A800CB" w:rsidRDefault="00A800CB" w:rsidP="00A800CB">
      <w:pPr>
        <w:spacing w:line="360" w:lineRule="auto"/>
        <w:ind w:firstLine="709"/>
        <w:jc w:val="both"/>
        <w:rPr>
          <w:lang w:eastAsia="ru-RU"/>
        </w:rPr>
      </w:pPr>
      <w:r w:rsidRPr="00A800CB">
        <w:rPr>
          <w:lang w:eastAsia="ru-RU"/>
        </w:rPr>
        <w:t xml:space="preserve">Демонстрационный экзамен – это важный этап в профессиональной подготовке наших студентов. Успешная сдача экзамена является результатом совместных усилий преподавателей, студентов и работодателей. </w:t>
      </w:r>
      <w:proofErr w:type="gramStart"/>
      <w:r w:rsidRPr="00A800CB">
        <w:rPr>
          <w:lang w:eastAsia="ru-RU"/>
        </w:rPr>
        <w:t>Уверен</w:t>
      </w:r>
      <w:proofErr w:type="gramEnd"/>
      <w:r w:rsidRPr="00A800CB">
        <w:rPr>
          <w:lang w:eastAsia="ru-RU"/>
        </w:rPr>
        <w:t>, что благодаря совместной работе и применению эффективных методик, мы сможем достичь высоких результатов и подготовить квалифицированных специалистов, востребованных на рынке труда.</w:t>
      </w:r>
      <w:bookmarkStart w:id="0" w:name="_GoBack"/>
      <w:bookmarkEnd w:id="0"/>
    </w:p>
    <w:sectPr w:rsidR="00A800CB" w:rsidRPr="00A80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A31D4"/>
    <w:multiLevelType w:val="multilevel"/>
    <w:tmpl w:val="B724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64CD0"/>
    <w:multiLevelType w:val="multilevel"/>
    <w:tmpl w:val="F4B4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FC66A4"/>
    <w:multiLevelType w:val="multilevel"/>
    <w:tmpl w:val="C39C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235D40"/>
    <w:multiLevelType w:val="multilevel"/>
    <w:tmpl w:val="35C4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6631DF"/>
    <w:multiLevelType w:val="multilevel"/>
    <w:tmpl w:val="ED4A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51"/>
    <w:rsid w:val="009463D9"/>
    <w:rsid w:val="00A800CB"/>
    <w:rsid w:val="00B052EA"/>
    <w:rsid w:val="00BB0D51"/>
    <w:rsid w:val="00C0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2">
    <w:name w:val="heading 2"/>
    <w:basedOn w:val="a"/>
    <w:link w:val="20"/>
    <w:uiPriority w:val="9"/>
    <w:qFormat/>
    <w:rsid w:val="00A800CB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00CB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800CB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A800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2">
    <w:name w:val="heading 2"/>
    <w:basedOn w:val="a"/>
    <w:link w:val="20"/>
    <w:uiPriority w:val="9"/>
    <w:qFormat/>
    <w:rsid w:val="00A800CB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00CB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800CB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A800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2025-11-24T08:33:00Z</dcterms:created>
  <dcterms:modified xsi:type="dcterms:W3CDTF">2025-11-24T09:54:00Z</dcterms:modified>
</cp:coreProperties>
</file>