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FAEB1" w14:textId="77777777" w:rsidR="002455F2" w:rsidRPr="002455F2" w:rsidRDefault="002455F2" w:rsidP="002455F2">
      <w:pPr>
        <w:shd w:val="clear" w:color="auto" w:fill="FFFFFF"/>
        <w:spacing w:after="0" w:line="240" w:lineRule="auto"/>
        <w:jc w:val="center"/>
        <w:rPr>
          <w:rFonts w:ascii="PT Serif" w:eastAsia="Times New Roman" w:hAnsi="PT Serif" w:cs="Times New Roman"/>
          <w:b/>
          <w:bCs/>
          <w:color w:val="22272F"/>
          <w:sz w:val="30"/>
          <w:szCs w:val="30"/>
          <w:lang w:eastAsia="ru-RU"/>
        </w:rPr>
      </w:pPr>
      <w:r w:rsidRPr="002455F2">
        <w:rPr>
          <w:rFonts w:ascii="PT Serif" w:eastAsia="Times New Roman" w:hAnsi="PT Serif" w:cs="Times New Roman"/>
          <w:b/>
          <w:bCs/>
          <w:color w:val="22272F"/>
          <w:sz w:val="30"/>
          <w:szCs w:val="30"/>
          <w:lang w:eastAsia="ru-RU"/>
        </w:rPr>
        <w:t>Порядок</w:t>
      </w:r>
      <w:r w:rsidRPr="002455F2">
        <w:rPr>
          <w:rFonts w:ascii="PT Serif" w:eastAsia="Times New Roman" w:hAnsi="PT Serif" w:cs="Times New Roman"/>
          <w:b/>
          <w:bCs/>
          <w:color w:val="22272F"/>
          <w:sz w:val="30"/>
          <w:szCs w:val="30"/>
          <w:lang w:eastAsia="ru-RU"/>
        </w:rPr>
        <w:br/>
        <w:t>проведения государственной итоговой аттестации по образовательным программам среднего профессионального образования</w:t>
      </w:r>
      <w:r w:rsidRPr="002455F2">
        <w:rPr>
          <w:rFonts w:ascii="PT Serif" w:eastAsia="Times New Roman" w:hAnsi="PT Serif" w:cs="Times New Roman"/>
          <w:b/>
          <w:bCs/>
          <w:color w:val="22272F"/>
          <w:sz w:val="30"/>
          <w:szCs w:val="30"/>
          <w:lang w:eastAsia="ru-RU"/>
        </w:rPr>
        <w:br/>
        <w:t>(утв. </w:t>
      </w:r>
      <w:hyperlink r:id="rId4" w:history="1">
        <w:r w:rsidRPr="002455F2">
          <w:rPr>
            <w:rFonts w:ascii="PT Serif" w:eastAsia="Times New Roman" w:hAnsi="PT Serif" w:cs="Times New Roman"/>
            <w:b/>
            <w:bCs/>
            <w:color w:val="3272C0"/>
            <w:sz w:val="30"/>
            <w:szCs w:val="30"/>
            <w:lang w:eastAsia="ru-RU"/>
          </w:rPr>
          <w:t>приказом</w:t>
        </w:r>
      </w:hyperlink>
      <w:r w:rsidRPr="002455F2">
        <w:rPr>
          <w:rFonts w:ascii="PT Serif" w:eastAsia="Times New Roman" w:hAnsi="PT Serif" w:cs="Times New Roman"/>
          <w:b/>
          <w:bCs/>
          <w:color w:val="22272F"/>
          <w:sz w:val="30"/>
          <w:szCs w:val="30"/>
          <w:lang w:eastAsia="ru-RU"/>
        </w:rPr>
        <w:t> Министерства образования и науки РФ от 16 августа 2013 г. N 968)</w:t>
      </w:r>
    </w:p>
    <w:p w14:paraId="3D4D89C7" w14:textId="77777777" w:rsidR="002455F2" w:rsidRPr="002455F2" w:rsidRDefault="002455F2" w:rsidP="002455F2">
      <w:pPr>
        <w:pBdr>
          <w:bottom w:val="dotted" w:sz="6" w:space="0" w:color="3272C0"/>
        </w:pBdr>
        <w:shd w:val="clear" w:color="auto" w:fill="FFFFFF"/>
        <w:spacing w:after="300" w:line="240" w:lineRule="auto"/>
        <w:outlineLvl w:val="3"/>
        <w:rPr>
          <w:rFonts w:ascii="PT Serif" w:eastAsia="Times New Roman" w:hAnsi="PT Serif" w:cs="Times New Roman"/>
          <w:b/>
          <w:bCs/>
          <w:color w:val="3272C0"/>
          <w:sz w:val="24"/>
          <w:szCs w:val="24"/>
          <w:lang w:eastAsia="ru-RU"/>
        </w:rPr>
      </w:pPr>
      <w:r w:rsidRPr="002455F2">
        <w:rPr>
          <w:rFonts w:ascii="PT Serif" w:eastAsia="Times New Roman" w:hAnsi="PT Serif" w:cs="Times New Roman"/>
          <w:b/>
          <w:bCs/>
          <w:color w:val="3272C0"/>
          <w:sz w:val="24"/>
          <w:szCs w:val="24"/>
          <w:lang w:eastAsia="ru-RU"/>
        </w:rPr>
        <w:t>С изменениями и дополнениями от:</w:t>
      </w:r>
    </w:p>
    <w:p w14:paraId="62AB7597" w14:textId="77777777" w:rsidR="002455F2" w:rsidRPr="002455F2" w:rsidRDefault="002455F2" w:rsidP="002455F2">
      <w:pPr>
        <w:shd w:val="clear" w:color="auto" w:fill="FFFFFF"/>
        <w:spacing w:after="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31 января 2014 г., 17 ноября 2017 г., 10 ноября 2020 г.</w:t>
      </w:r>
    </w:p>
    <w:p w14:paraId="66CAFF5D"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Настоящий Порядок </w:t>
      </w:r>
      <w:hyperlink r:id="rId5" w:anchor="block_1003" w:history="1">
        <w:r w:rsidRPr="002455F2">
          <w:rPr>
            <w:rFonts w:ascii="PT Serif" w:eastAsia="Times New Roman" w:hAnsi="PT Serif" w:cs="Times New Roman"/>
            <w:color w:val="3272C0"/>
            <w:sz w:val="24"/>
            <w:szCs w:val="24"/>
            <w:lang w:eastAsia="ru-RU"/>
          </w:rPr>
          <w:t>не применяется</w:t>
        </w:r>
      </w:hyperlink>
      <w:r w:rsidRPr="002455F2">
        <w:rPr>
          <w:rFonts w:ascii="PT Serif" w:eastAsia="Times New Roman" w:hAnsi="PT Serif" w:cs="Times New Roman"/>
          <w:color w:val="464C55"/>
          <w:sz w:val="24"/>
          <w:szCs w:val="24"/>
          <w:lang w:eastAsia="ru-RU"/>
        </w:rPr>
        <w:t> в 2019/20 учебном году в части форм проведения государственной итоговой аттестации, зачета результатов государственной итоговой аттестации, невозможности замены государственной итоговой аттестации выпускников оценкой уровня их подготовки на основе результатов промежуточной аттестации, порядка подачи апелляционного заявления о нарушении, по мнению выпускника, установленного порядка проведения государственной итоговой аттестации и (или) несогласии с ее результатами, а также проведения заседания апелляционной комиссии</w:t>
      </w:r>
    </w:p>
    <w:p w14:paraId="14B38700"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См. </w:t>
      </w:r>
      <w:hyperlink r:id="rId6" w:anchor="block_1000" w:history="1">
        <w:r w:rsidRPr="002455F2">
          <w:rPr>
            <w:rFonts w:ascii="PT Serif" w:eastAsia="Times New Roman" w:hAnsi="PT Serif" w:cs="Times New Roman"/>
            <w:color w:val="3272C0"/>
            <w:sz w:val="24"/>
            <w:szCs w:val="24"/>
            <w:lang w:eastAsia="ru-RU"/>
          </w:rPr>
          <w:t>особенности</w:t>
        </w:r>
      </w:hyperlink>
      <w:r w:rsidRPr="002455F2">
        <w:rPr>
          <w:rFonts w:ascii="PT Serif" w:eastAsia="Times New Roman" w:hAnsi="PT Serif" w:cs="Times New Roman"/>
          <w:color w:val="464C55"/>
          <w:sz w:val="24"/>
          <w:szCs w:val="24"/>
          <w:lang w:eastAsia="ru-RU"/>
        </w:rPr>
        <w:t> проведения государственной итоговой аттестации по образовательным программам среднего профессионального образования в 2019/20 учебном году, утвержденные </w:t>
      </w:r>
      <w:hyperlink r:id="rId7" w:history="1">
        <w:r w:rsidRPr="002455F2">
          <w:rPr>
            <w:rFonts w:ascii="PT Serif" w:eastAsia="Times New Roman" w:hAnsi="PT Serif" w:cs="Times New Roman"/>
            <w:color w:val="3272C0"/>
            <w:sz w:val="24"/>
            <w:szCs w:val="24"/>
            <w:lang w:eastAsia="ru-RU"/>
          </w:rPr>
          <w:t>приказом</w:t>
        </w:r>
      </w:hyperlink>
      <w:r w:rsidRPr="002455F2">
        <w:rPr>
          <w:rFonts w:ascii="PT Serif" w:eastAsia="Times New Roman" w:hAnsi="PT Serif" w:cs="Times New Roman"/>
          <w:color w:val="464C55"/>
          <w:sz w:val="24"/>
          <w:szCs w:val="24"/>
          <w:lang w:eastAsia="ru-RU"/>
        </w:rPr>
        <w:t> Министерства просвещения РФ от 21 мая 2020 г. N 257</w:t>
      </w:r>
    </w:p>
    <w:p w14:paraId="464EDA46" w14:textId="77777777" w:rsidR="002455F2" w:rsidRPr="002455F2" w:rsidRDefault="002455F2" w:rsidP="002455F2">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2455F2">
        <w:rPr>
          <w:rFonts w:ascii="PT Serif" w:eastAsia="Times New Roman" w:hAnsi="PT Serif" w:cs="Times New Roman"/>
          <w:b/>
          <w:bCs/>
          <w:color w:val="22272F"/>
          <w:sz w:val="30"/>
          <w:szCs w:val="30"/>
          <w:lang w:eastAsia="ru-RU"/>
        </w:rPr>
        <w:t>I. Общие положения</w:t>
      </w:r>
    </w:p>
    <w:p w14:paraId="5A189003"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7B59A218"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 Порядок проведения государственной итоговой аттестации по образовательным программам среднего профессионального образования (далее - Порядок) устанавливает правила организации и проведения организациями, осуществляющими образовательную деятельность по образовательным программам среднего профессионального образования (далее - образовательные организации), государственной итоговой аттестации студентов (курсантов) (далее - студенты, выпускники),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(программ подготовки квалифицированных рабочих, служащих и программ подготовки специалистов среднего звена) (далее - образовательные программы среднего профессионального образования), включая формы государственной итоговой аттестации,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а также особенности проведения государственной итоговой аттестации для выпускников из числа лиц с ограниченными возможностями здоровья.</w:t>
      </w:r>
    </w:p>
    <w:p w14:paraId="38AC7F3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lastRenderedPageBreak/>
        <w:t>2. Обеспечение проведения государственной итоговой аттестации по образовательным программам среднего профессионального образования осуществляется образовательными организациями.</w:t>
      </w:r>
    </w:p>
    <w:p w14:paraId="4C990445"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См. </w:t>
      </w:r>
      <w:hyperlink r:id="rId8" w:history="1">
        <w:r w:rsidRPr="002455F2">
          <w:rPr>
            <w:rFonts w:ascii="PT Serif" w:eastAsia="Times New Roman" w:hAnsi="PT Serif" w:cs="Times New Roman"/>
            <w:color w:val="3272C0"/>
            <w:sz w:val="24"/>
            <w:szCs w:val="24"/>
            <w:lang w:eastAsia="ru-RU"/>
          </w:rPr>
          <w:t>Методические рекомендации</w:t>
        </w:r>
      </w:hyperlink>
      <w:r w:rsidRPr="002455F2">
        <w:rPr>
          <w:rFonts w:ascii="PT Serif" w:eastAsia="Times New Roman" w:hAnsi="PT Serif" w:cs="Times New Roman"/>
          <w:color w:val="464C55"/>
          <w:sz w:val="24"/>
          <w:szCs w:val="24"/>
          <w:lang w:eastAsia="ru-RU"/>
        </w:rPr>
        <w:t>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направленные </w:t>
      </w:r>
      <w:hyperlink r:id="rId9" w:history="1">
        <w:r w:rsidRPr="002455F2">
          <w:rPr>
            <w:rFonts w:ascii="PT Serif" w:eastAsia="Times New Roman" w:hAnsi="PT Serif" w:cs="Times New Roman"/>
            <w:color w:val="3272C0"/>
            <w:sz w:val="24"/>
            <w:szCs w:val="24"/>
            <w:lang w:eastAsia="ru-RU"/>
          </w:rPr>
          <w:t>письмом</w:t>
        </w:r>
      </w:hyperlink>
      <w:r w:rsidRPr="002455F2">
        <w:rPr>
          <w:rFonts w:ascii="PT Serif" w:eastAsia="Times New Roman" w:hAnsi="PT Serif" w:cs="Times New Roman"/>
          <w:color w:val="464C55"/>
          <w:sz w:val="24"/>
          <w:szCs w:val="24"/>
          <w:lang w:eastAsia="ru-RU"/>
        </w:rPr>
        <w:t> Минобрнауки России от 20 июля 2015 г. N 06-846</w:t>
      </w:r>
    </w:p>
    <w:p w14:paraId="2545BA1D"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 Образовательные организации используют необходимые для организации образовательной деятельности средства при проведении государственной итоговой аттестации студентов.</w:t>
      </w:r>
    </w:p>
    <w:p w14:paraId="7F01A55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4. Студентам и лицам, привлекаемым к государственной итоговой аттестации, во время ее проведения запрещается иметь при себе и использовать средства связи.</w:t>
      </w:r>
    </w:p>
    <w:p w14:paraId="7D315E1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5. Лица, осваивающие образовательную программу среднего профессионального образования в форме самообразования либо обучавшиеся по не имеющей государственной аккредитации образовательной программе среднего профессионального образования, вправе пройти экстерном государственную итоговую аттестацию в образовательной организации, осуществляющей образовательную деятельность по имеющей государственную аккредитацию образовательной программе среднего профессионального образования, в соответствии с настоящим Порядком.</w:t>
      </w:r>
    </w:p>
    <w:p w14:paraId="69F35D83"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38575D9B" w14:textId="77777777" w:rsidR="002455F2" w:rsidRPr="002455F2" w:rsidRDefault="002455F2" w:rsidP="002455F2">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2455F2">
        <w:rPr>
          <w:rFonts w:ascii="PT Serif" w:eastAsia="Times New Roman" w:hAnsi="PT Serif" w:cs="Times New Roman"/>
          <w:b/>
          <w:bCs/>
          <w:color w:val="22272F"/>
          <w:sz w:val="30"/>
          <w:szCs w:val="30"/>
          <w:lang w:eastAsia="ru-RU"/>
        </w:rPr>
        <w:t>II. Государственная экзаменационная комиссия</w:t>
      </w:r>
    </w:p>
    <w:p w14:paraId="0AAED62F"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705B7880"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Пункт 6 изменен с 1 января 2018 г. - </w:t>
      </w:r>
      <w:hyperlink r:id="rId10" w:anchor="block_1001"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002AC5E2"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11" w:anchor="block_1006" w:history="1">
        <w:r w:rsidRPr="002455F2">
          <w:rPr>
            <w:rFonts w:ascii="PT Serif" w:eastAsia="Times New Roman" w:hAnsi="PT Serif" w:cs="Times New Roman"/>
            <w:color w:val="3272C0"/>
            <w:sz w:val="24"/>
            <w:szCs w:val="24"/>
            <w:lang w:eastAsia="ru-RU"/>
          </w:rPr>
          <w:t>См. предыдущую редакцию</w:t>
        </w:r>
      </w:hyperlink>
    </w:p>
    <w:p w14:paraId="03F61A7D"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6. В целях определения соответствия результатов освоения студентами образовательных программ среднего профессионального образования соответствующим требованиям федерального государственного образовательного стандарта среднего профессионального образования государственная итоговая аттестация проводится государственными экзаменационными комиссиями, которые создаются образовательной организацией по каждой образовательной программе среднего профессионального образования, реализуемой образовательной организацией.</w:t>
      </w:r>
    </w:p>
    <w:p w14:paraId="1362E769"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 xml:space="preserve">Государственная экзаменационная комиссия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Pr="002455F2">
        <w:rPr>
          <w:rFonts w:ascii="PT Serif" w:eastAsia="Times New Roman" w:hAnsi="PT Serif" w:cs="Times New Roman"/>
          <w:color w:val="464C55"/>
          <w:sz w:val="24"/>
          <w:szCs w:val="24"/>
          <w:lang w:eastAsia="ru-RU"/>
        </w:rPr>
        <w:lastRenderedPageBreak/>
        <w:t>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54545942"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В случае проведения демонстрационного экзамена в состав государственной экзаменационной комиссии входят также эксперты союза "Агентство развития профессиональных сообществ и рабочих кадров "Молодые профессионалы (</w:t>
      </w:r>
      <w:proofErr w:type="spellStart"/>
      <w:r w:rsidRPr="002455F2">
        <w:rPr>
          <w:rFonts w:ascii="PT Serif" w:eastAsia="Times New Roman" w:hAnsi="PT Serif" w:cs="Times New Roman"/>
          <w:color w:val="464C55"/>
          <w:sz w:val="24"/>
          <w:szCs w:val="24"/>
          <w:lang w:eastAsia="ru-RU"/>
        </w:rPr>
        <w:t>Ворлдскиллс</w:t>
      </w:r>
      <w:proofErr w:type="spellEnd"/>
      <w:r w:rsidRPr="002455F2">
        <w:rPr>
          <w:rFonts w:ascii="PT Serif" w:eastAsia="Times New Roman" w:hAnsi="PT Serif" w:cs="Times New Roman"/>
          <w:color w:val="464C55"/>
          <w:sz w:val="24"/>
          <w:szCs w:val="24"/>
          <w:lang w:eastAsia="ru-RU"/>
        </w:rPr>
        <w:t xml:space="preserve"> Россия)" (далее - союз).</w:t>
      </w:r>
    </w:p>
    <w:p w14:paraId="42F10FC8"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Состав государственной экзаменационной комиссии утверждается распорядительным актом образовательной организации.</w:t>
      </w:r>
    </w:p>
    <w:p w14:paraId="34F742E0"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Пункт 7 изменен с 12 декабря 2020 г. - </w:t>
      </w:r>
      <w:hyperlink r:id="rId12" w:anchor="block_1001"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w:t>
      </w:r>
      <w:proofErr w:type="spellStart"/>
      <w:r w:rsidRPr="002455F2">
        <w:rPr>
          <w:rFonts w:ascii="PT Serif" w:eastAsia="Times New Roman" w:hAnsi="PT Serif" w:cs="Times New Roman"/>
          <w:color w:val="464C55"/>
          <w:sz w:val="24"/>
          <w:szCs w:val="24"/>
          <w:lang w:eastAsia="ru-RU"/>
        </w:rPr>
        <w:t>Минпросвещения</w:t>
      </w:r>
      <w:proofErr w:type="spellEnd"/>
      <w:r w:rsidRPr="002455F2">
        <w:rPr>
          <w:rFonts w:ascii="PT Serif" w:eastAsia="Times New Roman" w:hAnsi="PT Serif" w:cs="Times New Roman"/>
          <w:color w:val="464C55"/>
          <w:sz w:val="24"/>
          <w:szCs w:val="24"/>
          <w:lang w:eastAsia="ru-RU"/>
        </w:rPr>
        <w:t xml:space="preserve"> России от 10 ноября 2020 г. N 630</w:t>
      </w:r>
    </w:p>
    <w:p w14:paraId="0CCD4F57"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13" w:anchor="block_1007" w:history="1">
        <w:r w:rsidRPr="002455F2">
          <w:rPr>
            <w:rFonts w:ascii="PT Serif" w:eastAsia="Times New Roman" w:hAnsi="PT Serif" w:cs="Times New Roman"/>
            <w:color w:val="3272C0"/>
            <w:sz w:val="24"/>
            <w:szCs w:val="24"/>
            <w:lang w:eastAsia="ru-RU"/>
          </w:rPr>
          <w:t>См. предыдущую редакцию</w:t>
        </w:r>
      </w:hyperlink>
    </w:p>
    <w:p w14:paraId="3B69666B"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7. Государственную экзаменационную комиссию возглавляет председатель, который организует и контролирует деятельность государственной экзаменационной комиссии, обеспечивает единство требований, предъявляемых к выпускникам.</w:t>
      </w:r>
    </w:p>
    <w:p w14:paraId="558AD7F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Председатель государственной экзаменационной комиссии утверждается не позднее 20 декабря текущего года на следующий календарный год (с 1 января по 31 декабря) по представлению образовательной организации органом местного самоуправления муниципального района и городского округа, органом исполнительной власти субъекта Российской Федерации, федеральным органом исполнительной власти, в ведении которого соответственно находится образовательная организация, а в случае, если функции и полномочия учредителя образовательной организации осуществляет Правительство Российской Федерации - по представлению указанной образовательной организации Министерством просвещения Российской Федерации. Председатель государственной экзаменационной комиссии частной образовательной организации утверждается по представлению частной образовательной организации органом исполнительной власти субъекта Российской Федерации, осуществляющим государственное управление в сфере образования, на территории которого находится частная образовательная организация.</w:t>
      </w:r>
    </w:p>
    <w:p w14:paraId="4A8CB277"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Председателем государственной экзаменационной комиссии образовательной организации утверждается лицо, не работающее в образовательной организации, из числа:</w:t>
      </w:r>
    </w:p>
    <w:p w14:paraId="12A769DB"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w:t>
      </w:r>
    </w:p>
    <w:p w14:paraId="3B94BC3E" w14:textId="77777777" w:rsidR="002455F2" w:rsidRPr="002455F2" w:rsidRDefault="002455F2" w:rsidP="002455F2">
      <w:pPr>
        <w:shd w:val="clear" w:color="auto" w:fill="FFFFFF"/>
        <w:spacing w:after="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lastRenderedPageBreak/>
        <w:t>абзац утратил силу с 1 января 2018 г. - </w:t>
      </w:r>
      <w:hyperlink r:id="rId14" w:anchor="block_1022"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54066D84"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15" w:anchor="block_10075" w:history="1">
        <w:r w:rsidRPr="002455F2">
          <w:rPr>
            <w:rFonts w:ascii="PT Serif" w:eastAsia="Times New Roman" w:hAnsi="PT Serif" w:cs="Times New Roman"/>
            <w:color w:val="3272C0"/>
            <w:sz w:val="24"/>
            <w:szCs w:val="24"/>
            <w:lang w:eastAsia="ru-RU"/>
          </w:rPr>
          <w:t>См. предыдущую редакцию</w:t>
        </w:r>
      </w:hyperlink>
    </w:p>
    <w:p w14:paraId="15A43660"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14:paraId="57C6B70C"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Пункт 8 изменен с 1 января 2018 г. - </w:t>
      </w:r>
      <w:hyperlink r:id="rId16" w:anchor="block_1003"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7D692DB5"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17" w:anchor="block_1008" w:history="1">
        <w:r w:rsidRPr="002455F2">
          <w:rPr>
            <w:rFonts w:ascii="PT Serif" w:eastAsia="Times New Roman" w:hAnsi="PT Serif" w:cs="Times New Roman"/>
            <w:color w:val="3272C0"/>
            <w:sz w:val="24"/>
            <w:szCs w:val="24"/>
            <w:lang w:eastAsia="ru-RU"/>
          </w:rPr>
          <w:t>См. предыдущую редакцию</w:t>
        </w:r>
      </w:hyperlink>
    </w:p>
    <w:p w14:paraId="470B7D9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8. Руководитель образовательной организации является заместителем председателя государственной экзаменационной комиссии. В случае создания в образовательной организации нескольких государственных экзаменационных комиссий назначается несколько заместителей председателя государственной экзаменационной комиссии из числа заместителей руководителя образовательной организации или педагогических работников.</w:t>
      </w:r>
    </w:p>
    <w:p w14:paraId="1EDE58B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9. Государственная экзаменационная комиссия действует в течение одного календарного года.</w:t>
      </w:r>
    </w:p>
    <w:p w14:paraId="52FEEB54"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1896D6DA" w14:textId="77777777" w:rsidR="002455F2" w:rsidRPr="002455F2" w:rsidRDefault="002455F2" w:rsidP="002455F2">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2455F2">
        <w:rPr>
          <w:rFonts w:ascii="PT Serif" w:eastAsia="Times New Roman" w:hAnsi="PT Serif" w:cs="Times New Roman"/>
          <w:b/>
          <w:bCs/>
          <w:color w:val="22272F"/>
          <w:sz w:val="30"/>
          <w:szCs w:val="30"/>
          <w:lang w:eastAsia="ru-RU"/>
        </w:rPr>
        <w:t>III. Формы государственной итоговой аттестации</w:t>
      </w:r>
    </w:p>
    <w:p w14:paraId="6DBD1ACC"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0AB9E765"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Пункт 10 изменен с 1 января 2018 г. - </w:t>
      </w:r>
      <w:hyperlink r:id="rId18" w:anchor="block_1004"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18EEB4BB"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19" w:anchor="block_1010" w:history="1">
        <w:r w:rsidRPr="002455F2">
          <w:rPr>
            <w:rFonts w:ascii="PT Serif" w:eastAsia="Times New Roman" w:hAnsi="PT Serif" w:cs="Times New Roman"/>
            <w:color w:val="3272C0"/>
            <w:sz w:val="24"/>
            <w:szCs w:val="24"/>
            <w:lang w:eastAsia="ru-RU"/>
          </w:rPr>
          <w:t>См. предыдущую редакцию</w:t>
        </w:r>
      </w:hyperlink>
    </w:p>
    <w:p w14:paraId="189835C4"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10. Формами государственной итоговой аттестации по образовательным программам среднего профессионального образования в соответствии с федеральными государственными образовательными стандартами среднего профессионального образования являются защита выпускной квалификационной работы и (или) государственный(</w:t>
      </w:r>
      <w:proofErr w:type="spellStart"/>
      <w:r w:rsidRPr="002455F2">
        <w:rPr>
          <w:rFonts w:ascii="PT Serif" w:eastAsia="Times New Roman" w:hAnsi="PT Serif" w:cs="Times New Roman"/>
          <w:color w:val="464C55"/>
          <w:sz w:val="24"/>
          <w:szCs w:val="24"/>
          <w:lang w:eastAsia="ru-RU"/>
        </w:rPr>
        <w:t>ые</w:t>
      </w:r>
      <w:proofErr w:type="spellEnd"/>
      <w:r w:rsidRPr="002455F2">
        <w:rPr>
          <w:rFonts w:ascii="PT Serif" w:eastAsia="Times New Roman" w:hAnsi="PT Serif" w:cs="Times New Roman"/>
          <w:color w:val="464C55"/>
          <w:sz w:val="24"/>
          <w:szCs w:val="24"/>
          <w:lang w:eastAsia="ru-RU"/>
        </w:rPr>
        <w:t>) экзамен(ы), в том числе в виде демонстрационного экзамена.</w:t>
      </w:r>
    </w:p>
    <w:p w14:paraId="22534CC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11. Выпускная квалификационная работа способствует систематизации и закреплению знаний выпускника по профессии или специальности при решении конкретных задач, а также выяснению уровня подготовки выпускника к самостоятельной работе.</w:t>
      </w:r>
    </w:p>
    <w:p w14:paraId="70B597C7"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Пункт 12 изменен с 1 января 2018 г. - </w:t>
      </w:r>
      <w:hyperlink r:id="rId20" w:anchor="block_1005"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018CA88E"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21" w:anchor="block_1012" w:history="1">
        <w:r w:rsidRPr="002455F2">
          <w:rPr>
            <w:rFonts w:ascii="PT Serif" w:eastAsia="Times New Roman" w:hAnsi="PT Serif" w:cs="Times New Roman"/>
            <w:color w:val="3272C0"/>
            <w:sz w:val="24"/>
            <w:szCs w:val="24"/>
            <w:lang w:eastAsia="ru-RU"/>
          </w:rPr>
          <w:t>См. предыдущую редакцию</w:t>
        </w:r>
      </w:hyperlink>
    </w:p>
    <w:p w14:paraId="0C2AFB6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lastRenderedPageBreak/>
        <w:t>12. В зависимости от осваиваемой образовательной программы среднего профессионального образования и в соответствии с федеральным государственным образовательным стандартом среднего профессионального образования выпускная квалификационная работа выполняется в следующих видах:</w:t>
      </w:r>
    </w:p>
    <w:p w14:paraId="67FC1BAD"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выпускная практическая квалификационная работа и письменная экзаменационная работа либо демонстрационный экзамен - для выпускников, осваивающих программы подготовки квалифицированных рабочих, служащих;</w:t>
      </w:r>
    </w:p>
    <w:p w14:paraId="4DBE9F17"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дипломная работа (дипломный проект) и (или) демонстрационный экзамен - для выпускников, осваивающих программы подготовки специалистов среднего звена.</w:t>
      </w:r>
    </w:p>
    <w:p w14:paraId="24EA126B"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13. Темы выпускных квалификационных работ определяются образовательной организацией. Студенту предоставляется право выбора темы выпускной квалификационной работы, в том числе предложения своей тематики с необходимым обоснованием целесообразности ее разработки для практического применения. При этом тематика выпускной квалификационной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42D15D4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Для подготовки выпускной квалификационной работы студенту назначается руководитель и, при необходимости, консультанты.</w:t>
      </w:r>
    </w:p>
    <w:p w14:paraId="74F42E6D"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Закрепление за студентами тем выпускных квалификационных работ, назначение руководителей и консультантов осуществляется распорядительным актом образовательной организации.</w:t>
      </w:r>
    </w:p>
    <w:p w14:paraId="56A6104B"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hyperlink r:id="rId22" w:anchor="block_1004" w:history="1">
        <w:r w:rsidRPr="002455F2">
          <w:rPr>
            <w:rFonts w:ascii="PT Serif" w:eastAsia="Times New Roman" w:hAnsi="PT Serif" w:cs="Times New Roman"/>
            <w:color w:val="3272C0"/>
            <w:sz w:val="24"/>
            <w:szCs w:val="24"/>
            <w:lang w:eastAsia="ru-RU"/>
          </w:rPr>
          <w:t>Приказом</w:t>
        </w:r>
      </w:hyperlink>
      <w:r w:rsidRPr="002455F2">
        <w:rPr>
          <w:rFonts w:ascii="PT Serif" w:eastAsia="Times New Roman" w:hAnsi="PT Serif" w:cs="Times New Roman"/>
          <w:color w:val="464C55"/>
          <w:sz w:val="24"/>
          <w:szCs w:val="24"/>
          <w:lang w:eastAsia="ru-RU"/>
        </w:rPr>
        <w:t> Минобрнауки России от 31 января 2014 г. N 74 пункт 14 изложен в новой редакции</w:t>
      </w:r>
    </w:p>
    <w:p w14:paraId="3BCC0176"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23" w:anchor="block_1014" w:history="1">
        <w:r w:rsidRPr="002455F2">
          <w:rPr>
            <w:rFonts w:ascii="PT Serif" w:eastAsia="Times New Roman" w:hAnsi="PT Serif" w:cs="Times New Roman"/>
            <w:color w:val="3272C0"/>
            <w:sz w:val="24"/>
            <w:szCs w:val="24"/>
            <w:lang w:eastAsia="ru-RU"/>
          </w:rPr>
          <w:t>См. текст пункта в предыдущей редакции</w:t>
        </w:r>
      </w:hyperlink>
    </w:p>
    <w:p w14:paraId="1C60DB25"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14. Государственный экзамен по отдельному профессиональному модулю (междисциплинарному курсу, дисциплине) определяет уровень освоения студентом материала, предусмотренного учебным планом, и охватывает минимальное содержание данного профессионального модуля (междисциплинарного курса, дисциплины), установленное соответствующим федеральным государственным образовательным стандартом среднего профессионального образования.</w:t>
      </w:r>
    </w:p>
    <w:p w14:paraId="4AC3D4A9"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Порядок дополнен пунктом 14.1 с 1 января 2018 г. - </w:t>
      </w:r>
      <w:hyperlink r:id="rId24" w:anchor="block_1006"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55C23667"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14.1. 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w:t>
      </w:r>
    </w:p>
    <w:p w14:paraId="16ADF38C"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lastRenderedPageBreak/>
        <w:t>Пункт 15 изменен с 1 января 2018 г. - </w:t>
      </w:r>
      <w:hyperlink r:id="rId25" w:anchor="block_1007"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2A650B71"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26" w:anchor="block_1015" w:history="1">
        <w:r w:rsidRPr="002455F2">
          <w:rPr>
            <w:rFonts w:ascii="PT Serif" w:eastAsia="Times New Roman" w:hAnsi="PT Serif" w:cs="Times New Roman"/>
            <w:color w:val="3272C0"/>
            <w:sz w:val="24"/>
            <w:szCs w:val="24"/>
            <w:lang w:eastAsia="ru-RU"/>
          </w:rPr>
          <w:t>См. предыдущую редакцию</w:t>
        </w:r>
      </w:hyperlink>
    </w:p>
    <w:p w14:paraId="0174AFC4"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15. Программа государственной итоговой аттестации, методика оценивания результатов, требования к выпускным квалификационным работам, задания и продолжительность государственных экзаменов определяются с учетом примерной основной образовательной программы среднего профессионального образования и утверждаются образовательной организацией после их обсуждения на заседании педагогического совета образовательной организации с участием председателей государственных экзаменационных комиссий.</w:t>
      </w:r>
    </w:p>
    <w:p w14:paraId="7487B124"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Задания демонстрационного экзамена разрабатываются на основе профессиональных стандартов (при наличии) и с учетом оценочных материалов (при наличии), разработанных союзом.</w:t>
      </w:r>
    </w:p>
    <w:p w14:paraId="14A3A21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16. Государственная итоговая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w:t>
      </w:r>
    </w:p>
    <w:p w14:paraId="648E6D60"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Порядок дополнен пунктом 16.1 с 1 января 2018 г. - </w:t>
      </w:r>
      <w:hyperlink r:id="rId27" w:anchor="block_1008"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4706E2F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16.1. Результаты победителей и призеров чемпионатов профессионального мастерства, проводимых союзом либо международной организацией "</w:t>
      </w:r>
      <w:proofErr w:type="spellStart"/>
      <w:r w:rsidRPr="002455F2">
        <w:rPr>
          <w:rFonts w:ascii="PT Serif" w:eastAsia="Times New Roman" w:hAnsi="PT Serif" w:cs="Times New Roman"/>
          <w:color w:val="464C55"/>
          <w:sz w:val="24"/>
          <w:szCs w:val="24"/>
          <w:lang w:eastAsia="ru-RU"/>
        </w:rPr>
        <w:t>WorldSkills</w:t>
      </w:r>
      <w:proofErr w:type="spellEnd"/>
      <w:r w:rsidRPr="002455F2">
        <w:rPr>
          <w:rFonts w:ascii="PT Serif" w:eastAsia="Times New Roman" w:hAnsi="PT Serif" w:cs="Times New Roman"/>
          <w:color w:val="464C55"/>
          <w:sz w:val="24"/>
          <w:szCs w:val="24"/>
          <w:lang w:eastAsia="ru-RU"/>
        </w:rPr>
        <w:t xml:space="preserve"> International", осваивающих образовательные программы среднего профессионального образования, засчитываются в качестве оценки "отлично" по демонстрационному экзамену.</w:t>
      </w:r>
    </w:p>
    <w:p w14:paraId="6E3E6842"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6B32AB34" w14:textId="77777777" w:rsidR="002455F2" w:rsidRPr="002455F2" w:rsidRDefault="002455F2" w:rsidP="002455F2">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2455F2">
        <w:rPr>
          <w:rFonts w:ascii="PT Serif" w:eastAsia="Times New Roman" w:hAnsi="PT Serif" w:cs="Times New Roman"/>
          <w:b/>
          <w:bCs/>
          <w:color w:val="22272F"/>
          <w:sz w:val="30"/>
          <w:szCs w:val="30"/>
          <w:lang w:eastAsia="ru-RU"/>
        </w:rPr>
        <w:t>IV. Порядок проведения государственной итоговой аттестации</w:t>
      </w:r>
    </w:p>
    <w:p w14:paraId="11DED438"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См. </w:t>
      </w:r>
      <w:hyperlink r:id="rId28" w:anchor="block_1000" w:history="1">
        <w:r w:rsidRPr="002455F2">
          <w:rPr>
            <w:rFonts w:ascii="PT Serif" w:eastAsia="Times New Roman" w:hAnsi="PT Serif" w:cs="Times New Roman"/>
            <w:color w:val="3272C0"/>
            <w:sz w:val="24"/>
            <w:szCs w:val="24"/>
            <w:lang w:eastAsia="ru-RU"/>
          </w:rPr>
          <w:t>Методические рекомендации</w:t>
        </w:r>
      </w:hyperlink>
      <w:r w:rsidRPr="002455F2">
        <w:rPr>
          <w:rFonts w:ascii="PT Serif" w:eastAsia="Times New Roman" w:hAnsi="PT Serif" w:cs="Times New Roman"/>
          <w:color w:val="464C55"/>
          <w:sz w:val="24"/>
          <w:szCs w:val="24"/>
          <w:lang w:eastAsia="ru-RU"/>
        </w:rPr>
        <w:t> по проведению государственной итоговой и промежуточной аттестации в виде демонстрационного экзамена по профессиям и специальностям среднего профессионального образования в условиях введения режима повышенной готовности, согласованные с Федеральной службой по надзору в сфере защиты прав потребителей и благополучия человека, направленные </w:t>
      </w:r>
      <w:hyperlink r:id="rId29" w:history="1">
        <w:r w:rsidRPr="002455F2">
          <w:rPr>
            <w:rFonts w:ascii="PT Serif" w:eastAsia="Times New Roman" w:hAnsi="PT Serif" w:cs="Times New Roman"/>
            <w:color w:val="3272C0"/>
            <w:sz w:val="24"/>
            <w:szCs w:val="24"/>
            <w:lang w:eastAsia="ru-RU"/>
          </w:rPr>
          <w:t>письмом</w:t>
        </w:r>
      </w:hyperlink>
      <w:r w:rsidRPr="002455F2">
        <w:rPr>
          <w:rFonts w:ascii="PT Serif" w:eastAsia="Times New Roman" w:hAnsi="PT Serif" w:cs="Times New Roman"/>
          <w:color w:val="464C55"/>
          <w:sz w:val="24"/>
          <w:szCs w:val="24"/>
          <w:lang w:eastAsia="ru-RU"/>
        </w:rPr>
        <w:t> </w:t>
      </w:r>
      <w:proofErr w:type="spellStart"/>
      <w:r w:rsidRPr="002455F2">
        <w:rPr>
          <w:rFonts w:ascii="PT Serif" w:eastAsia="Times New Roman" w:hAnsi="PT Serif" w:cs="Times New Roman"/>
          <w:color w:val="464C55"/>
          <w:sz w:val="24"/>
          <w:szCs w:val="24"/>
          <w:lang w:eastAsia="ru-RU"/>
        </w:rPr>
        <w:t>Минпросвещения</w:t>
      </w:r>
      <w:proofErr w:type="spellEnd"/>
      <w:r w:rsidRPr="002455F2">
        <w:rPr>
          <w:rFonts w:ascii="PT Serif" w:eastAsia="Times New Roman" w:hAnsi="PT Serif" w:cs="Times New Roman"/>
          <w:color w:val="464C55"/>
          <w:sz w:val="24"/>
          <w:szCs w:val="24"/>
          <w:lang w:eastAsia="ru-RU"/>
        </w:rPr>
        <w:t xml:space="preserve"> России от 16 апреля 2020 г. N ГД-238/05</w:t>
      </w:r>
    </w:p>
    <w:p w14:paraId="2C80123B" w14:textId="77777777" w:rsidR="002455F2" w:rsidRPr="002455F2" w:rsidRDefault="002455F2" w:rsidP="002455F2">
      <w:pPr>
        <w:shd w:val="clear" w:color="auto" w:fill="FFFFFF"/>
        <w:spacing w:after="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17. К государственной итоговой аттестации допускается студент,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hyperlink r:id="rId30" w:anchor="block_1111" w:history="1">
        <w:r w:rsidRPr="002455F2">
          <w:rPr>
            <w:rFonts w:ascii="PT Serif" w:eastAsia="Times New Roman" w:hAnsi="PT Serif" w:cs="Times New Roman"/>
            <w:color w:val="3272C0"/>
            <w:sz w:val="24"/>
            <w:szCs w:val="24"/>
            <w:lang w:eastAsia="ru-RU"/>
          </w:rPr>
          <w:t>*</w:t>
        </w:r>
      </w:hyperlink>
      <w:r w:rsidRPr="002455F2">
        <w:rPr>
          <w:rFonts w:ascii="PT Serif" w:eastAsia="Times New Roman" w:hAnsi="PT Serif" w:cs="Times New Roman"/>
          <w:color w:val="464C55"/>
          <w:sz w:val="24"/>
          <w:szCs w:val="24"/>
          <w:lang w:eastAsia="ru-RU"/>
        </w:rPr>
        <w:t>.</w:t>
      </w:r>
    </w:p>
    <w:p w14:paraId="48482984"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 xml:space="preserve">18. Программа государственной итоговой аттестации, требования к выпускным квалификационным работам, а также критерии оценки знаний, утвержденные </w:t>
      </w:r>
      <w:r w:rsidRPr="002455F2">
        <w:rPr>
          <w:rFonts w:ascii="PT Serif" w:eastAsia="Times New Roman" w:hAnsi="PT Serif" w:cs="Times New Roman"/>
          <w:color w:val="464C55"/>
          <w:sz w:val="24"/>
          <w:szCs w:val="24"/>
          <w:lang w:eastAsia="ru-RU"/>
        </w:rPr>
        <w:lastRenderedPageBreak/>
        <w:t>образовательной организацией, доводятся до сведения студентов, не позднее чем за шесть месяцев до начала государственной итоговой аттестации.</w:t>
      </w:r>
    </w:p>
    <w:p w14:paraId="136D7CC1"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Порядок дополнен пунктом 18.1 с 1 января 2018 г. - </w:t>
      </w:r>
      <w:hyperlink r:id="rId31" w:anchor="block_1009" w:history="1">
        <w:r w:rsidRPr="002455F2">
          <w:rPr>
            <w:rFonts w:ascii="PT Serif" w:eastAsia="Times New Roman" w:hAnsi="PT Serif" w:cs="Times New Roman"/>
            <w:color w:val="3272C0"/>
            <w:sz w:val="24"/>
            <w:szCs w:val="24"/>
            <w:lang w:eastAsia="ru-RU"/>
          </w:rPr>
          <w:t>Приказ</w:t>
        </w:r>
      </w:hyperlink>
      <w:r w:rsidRPr="002455F2">
        <w:rPr>
          <w:rFonts w:ascii="PT Serif" w:eastAsia="Times New Roman" w:hAnsi="PT Serif" w:cs="Times New Roman"/>
          <w:color w:val="464C55"/>
          <w:sz w:val="24"/>
          <w:szCs w:val="24"/>
          <w:lang w:eastAsia="ru-RU"/>
        </w:rPr>
        <w:t> Минобрнауки России от 17 ноября 2017 г. N 1138</w:t>
      </w:r>
    </w:p>
    <w:p w14:paraId="6A57BCBF"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18.1. Образовательная организация обеспечивает проведение предварительного инструктажа выпускников непосредственно в месте проведения демонстрационного экзамена.</w:t>
      </w:r>
    </w:p>
    <w:p w14:paraId="42F0D3E9"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19. Сдача государственного экзамена и защита выпускных квалификационных работ (за исключением работ по закрытой тематике) проводятся на открытых заседаниях государственной экзаменационной комиссии с участием не менее двух третей ее состава.</w:t>
      </w:r>
    </w:p>
    <w:p w14:paraId="2BFE7A65"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20. Результаты любой из форм государственной итоговой аттестации,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протоколов заседаний государственных экзаменационных комиссий.</w:t>
      </w:r>
    </w:p>
    <w:p w14:paraId="5CAA4BFB"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21. Решения государственных экзаменационных комиссий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или его заместителя. При равном числе голосов голос председательствующего на заседании государственной экзаменационной комиссии является решающим.</w:t>
      </w:r>
    </w:p>
    <w:p w14:paraId="0C31CD7B"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22. Лицам, не проходившим государственной итоговой аттестации по уважительной причине, предоставляется возможность пройти государственную итоговую аттестацию без отчисления из образовательной организации.</w:t>
      </w:r>
    </w:p>
    <w:p w14:paraId="6DA48D5F"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Дополнительные заседания государственных экзаменационных комиссий организуются в установленные образовательной организацией сроки, но не позднее четырех месяцев после подачи заявления лицом, не проходившим государственной итоговой аттестации по уважительной причине.</w:t>
      </w:r>
    </w:p>
    <w:p w14:paraId="5CD05D5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23.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проходят государственную итоговую аттестацию не ранее чем через шесть месяцев после прохождения государственной итоговой аттестации впервые.</w:t>
      </w:r>
    </w:p>
    <w:p w14:paraId="409A8955"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 xml:space="preserve">Для прохождения государственной итоговой аттестации лицо,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 восстанавливается в образовательной организации на период времени, </w:t>
      </w:r>
      <w:r w:rsidRPr="002455F2">
        <w:rPr>
          <w:rFonts w:ascii="PT Serif" w:eastAsia="Times New Roman" w:hAnsi="PT Serif" w:cs="Times New Roman"/>
          <w:color w:val="464C55"/>
          <w:sz w:val="24"/>
          <w:szCs w:val="24"/>
          <w:lang w:eastAsia="ru-RU"/>
        </w:rPr>
        <w:lastRenderedPageBreak/>
        <w:t>установленный образовательной организацией самостоятельно, но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w:t>
      </w:r>
    </w:p>
    <w:p w14:paraId="039365D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Повторное прохождение государственной итоговой аттестации для одного лица назначается образовательной организацией не более двух раз.</w:t>
      </w:r>
    </w:p>
    <w:p w14:paraId="48B6820E"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24. Решение государственной экзаменационной комиссии оформляется протоколом, который подписывается председателем государственной экзаменационной комиссии (в случае отсутствия председателя - его заместителем) и секретарем государственной экзаменационной комиссии и хранится в архиве образовательной организации.</w:t>
      </w:r>
    </w:p>
    <w:p w14:paraId="1CA83F96"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7D9C1190" w14:textId="77777777" w:rsidR="002455F2" w:rsidRPr="002455F2" w:rsidRDefault="002455F2" w:rsidP="002455F2">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2455F2">
        <w:rPr>
          <w:rFonts w:ascii="PT Serif" w:eastAsia="Times New Roman" w:hAnsi="PT Serif" w:cs="Times New Roman"/>
          <w:b/>
          <w:bCs/>
          <w:color w:val="22272F"/>
          <w:sz w:val="30"/>
          <w:szCs w:val="30"/>
          <w:lang w:eastAsia="ru-RU"/>
        </w:rPr>
        <w:t>V. Порядок проведения государственной итоговой аттестации для выпускников из числа лиц с ограниченными возможностями здоровья</w:t>
      </w:r>
    </w:p>
    <w:p w14:paraId="675ACABB"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212046DF"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25. Для выпускников из числа лиц с ограниченными возможностями здоровья государственная итоговая аттестация проводится образовательной организацией с учетом особенностей психофизического развития, индивидуальных возможностей и состояния здоровья таких выпускников (далее - индивидуальные особенности).</w:t>
      </w:r>
    </w:p>
    <w:p w14:paraId="6E4B91CE"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26. При проведении государственной итоговой аттестации обеспечивается соблюдение следующих общих требований:</w:t>
      </w:r>
    </w:p>
    <w:p w14:paraId="64257FE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проведение государственной итоговой аттестации для лиц с ограниченными возможностями здоровья в одной аудитории совместно с выпускниками, не имеющими ограниченных возможностей здоровья, если это не создает трудностей для выпускников при прохождении государственной итоговой аттестации;</w:t>
      </w:r>
    </w:p>
    <w:p w14:paraId="0DA88255"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присутствие в аудитории ассистента, оказывающего выпускникам необходимую техническую помощь с учетом их индивидуальных особенностей (занять рабочее место, передвигаться, прочитать и оформить задание, общаться с членами государственной экзаменационной комиссии);</w:t>
      </w:r>
    </w:p>
    <w:p w14:paraId="149CC050"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w:t>
      </w:r>
    </w:p>
    <w:p w14:paraId="5C8A70D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lastRenderedPageBreak/>
        <w:t>обеспечение возможности беспрепятственного доступа выпускников в аудитории,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14:paraId="4617AF4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27. Дополнительно при проведении государственной итоговой аттестации обеспечивается соблюдение следующих требований в зависимости от категорий выпускников с ограниченными возможностями здоровья:</w:t>
      </w:r>
    </w:p>
    <w:p w14:paraId="15AC72C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а) для слепых:</w:t>
      </w:r>
    </w:p>
    <w:p w14:paraId="13BC7F1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задания для выполнения, а также инструкция о порядке государственной итоговой аттестации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p w14:paraId="416512D7"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p w14:paraId="5D908863"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выпускникам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14:paraId="0CCD2658"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б) для слабовидящих:</w:t>
      </w:r>
    </w:p>
    <w:p w14:paraId="3544B26B"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обеспечивается индивидуальное равномерное освещение не менее 300 люкс;</w:t>
      </w:r>
    </w:p>
    <w:p w14:paraId="277D9268"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выпускникам для выполнения задания при необходимости предоставляется увеличивающее устройство;</w:t>
      </w:r>
    </w:p>
    <w:p w14:paraId="176669F7"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задания для выполнения, а также инструкция о порядке проведения государственной аттестации оформляются увеличенным шрифтом;</w:t>
      </w:r>
    </w:p>
    <w:p w14:paraId="4EFBD57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в) для глухих и слабослышащих, с тяжелыми нарушениями речи:</w:t>
      </w:r>
    </w:p>
    <w:p w14:paraId="2E38FA91"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обеспечивается наличие звукоусиливающей аппаратуры коллективного пользования, при необходимости предоставляется звукоусиливающая аппаратура индивидуального пользования;</w:t>
      </w:r>
    </w:p>
    <w:p w14:paraId="5AF15953"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по их желанию государственный экзамен может проводиться в письменной форме;</w:t>
      </w:r>
    </w:p>
    <w:p w14:paraId="77FCBE62"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lastRenderedPageBreak/>
        <w:t>Нумерация подпунктов приводится в соответствии с источником</w:t>
      </w:r>
    </w:p>
    <w:p w14:paraId="3620B1C2"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д) для лиц с нарушениями опорно-двигательного аппарата (с тяжелыми нарушениями двигательных функций верхних конечностей или отсутствием верхних конечностей):</w:t>
      </w:r>
    </w:p>
    <w:p w14:paraId="1F503892"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письменные задания выполняются на компьютере со специализированным программным обеспечением или надиктовываются ассистенту;</w:t>
      </w:r>
    </w:p>
    <w:p w14:paraId="6396EB64"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по их желанию государственный экзамен может проводиться в устной форме.</w:t>
      </w:r>
    </w:p>
    <w:p w14:paraId="2FD13791"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28. Выпускники или родители (законные представители) несовершеннолетних выпускников не позднее чем за 3 месяца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w:t>
      </w:r>
    </w:p>
    <w:p w14:paraId="084D8029"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Нумерация разделов приводится в соответствии с источником</w:t>
      </w:r>
    </w:p>
    <w:p w14:paraId="203A4724" w14:textId="77777777" w:rsidR="002455F2" w:rsidRPr="002455F2" w:rsidRDefault="002455F2" w:rsidP="002455F2">
      <w:pPr>
        <w:shd w:val="clear" w:color="auto" w:fill="FFFFFF"/>
        <w:spacing w:after="300" w:line="240" w:lineRule="auto"/>
        <w:jc w:val="center"/>
        <w:rPr>
          <w:rFonts w:ascii="PT Serif" w:eastAsia="Times New Roman" w:hAnsi="PT Serif" w:cs="Times New Roman"/>
          <w:b/>
          <w:bCs/>
          <w:color w:val="22272F"/>
          <w:sz w:val="30"/>
          <w:szCs w:val="30"/>
          <w:lang w:eastAsia="ru-RU"/>
        </w:rPr>
      </w:pPr>
      <w:r w:rsidRPr="002455F2">
        <w:rPr>
          <w:rFonts w:ascii="PT Serif" w:eastAsia="Times New Roman" w:hAnsi="PT Serif" w:cs="Times New Roman"/>
          <w:b/>
          <w:bCs/>
          <w:color w:val="22272F"/>
          <w:sz w:val="30"/>
          <w:szCs w:val="30"/>
          <w:lang w:eastAsia="ru-RU"/>
        </w:rPr>
        <w:t>IV. Порядок подачи и рассмотрения апелляций</w:t>
      </w:r>
    </w:p>
    <w:p w14:paraId="76C7E3ED"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t> </w:t>
      </w:r>
    </w:p>
    <w:p w14:paraId="6D7FEF9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29. По результатам государственной аттестации выпускник, участвовавший в государственной итоговой аттестации, имеет право подать в апелляционную комиссию письменное апелляционное заявление о нарушении, по его мнению, установленного порядка проведения государственной итоговой аттестации и (или) несогласии с ее результатами (далее - апелляция).</w:t>
      </w:r>
    </w:p>
    <w:p w14:paraId="60181EE5"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30. Апелляция подается лично выпускником или родителями (законными представителями) несовершеннолетнего выпускника в апелляционную комиссию образовательной организации.</w:t>
      </w:r>
    </w:p>
    <w:p w14:paraId="18660E5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w:t>
      </w:r>
    </w:p>
    <w:p w14:paraId="1E40B63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w:t>
      </w:r>
    </w:p>
    <w:p w14:paraId="339BF018"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31. Апелляция рассматривается апелляционной комиссией не позднее трех рабочих дней с момента ее поступления.</w:t>
      </w:r>
    </w:p>
    <w:p w14:paraId="0056897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32. Состав апелляционной комиссии утверждается образовательной организацией одновременно с утверждением состава государственной экзаменационной комиссии.</w:t>
      </w:r>
    </w:p>
    <w:p w14:paraId="12E424F3" w14:textId="77777777" w:rsidR="002455F2" w:rsidRPr="002455F2" w:rsidRDefault="002455F2" w:rsidP="002455F2">
      <w:pPr>
        <w:shd w:val="clear" w:color="auto" w:fill="F0E9D3"/>
        <w:spacing w:after="0" w:line="264" w:lineRule="atLeast"/>
        <w:rPr>
          <w:rFonts w:ascii="PT Serif" w:eastAsia="Times New Roman" w:hAnsi="PT Serif" w:cs="Times New Roman"/>
          <w:color w:val="464C55"/>
          <w:sz w:val="24"/>
          <w:szCs w:val="24"/>
          <w:lang w:eastAsia="ru-RU"/>
        </w:rPr>
      </w:pPr>
      <w:hyperlink r:id="rId32" w:anchor="block_1005" w:history="1">
        <w:r w:rsidRPr="002455F2">
          <w:rPr>
            <w:rFonts w:ascii="PT Serif" w:eastAsia="Times New Roman" w:hAnsi="PT Serif" w:cs="Times New Roman"/>
            <w:color w:val="3272C0"/>
            <w:sz w:val="24"/>
            <w:szCs w:val="24"/>
            <w:lang w:eastAsia="ru-RU"/>
          </w:rPr>
          <w:t>Приказом</w:t>
        </w:r>
      </w:hyperlink>
      <w:r w:rsidRPr="002455F2">
        <w:rPr>
          <w:rFonts w:ascii="PT Serif" w:eastAsia="Times New Roman" w:hAnsi="PT Serif" w:cs="Times New Roman"/>
          <w:color w:val="464C55"/>
          <w:sz w:val="24"/>
          <w:szCs w:val="24"/>
          <w:lang w:eastAsia="ru-RU"/>
        </w:rPr>
        <w:t> Минобрнауки России от 31 января 2014 г. N 74 пункт 33 изложен в новой редакции</w:t>
      </w:r>
    </w:p>
    <w:p w14:paraId="556A30C8" w14:textId="77777777" w:rsidR="002455F2" w:rsidRPr="002455F2" w:rsidRDefault="002455F2" w:rsidP="002455F2">
      <w:pPr>
        <w:shd w:val="clear" w:color="auto" w:fill="F0E9D3"/>
        <w:spacing w:line="264" w:lineRule="atLeast"/>
        <w:rPr>
          <w:rFonts w:ascii="PT Serif" w:eastAsia="Times New Roman" w:hAnsi="PT Serif" w:cs="Times New Roman"/>
          <w:color w:val="464C55"/>
          <w:sz w:val="24"/>
          <w:szCs w:val="24"/>
          <w:lang w:eastAsia="ru-RU"/>
        </w:rPr>
      </w:pPr>
      <w:hyperlink r:id="rId33" w:anchor="block_1033" w:history="1">
        <w:r w:rsidRPr="002455F2">
          <w:rPr>
            <w:rFonts w:ascii="PT Serif" w:eastAsia="Times New Roman" w:hAnsi="PT Serif" w:cs="Times New Roman"/>
            <w:color w:val="3272C0"/>
            <w:sz w:val="24"/>
            <w:szCs w:val="24"/>
            <w:lang w:eastAsia="ru-RU"/>
          </w:rPr>
          <w:t>См. текст пункта в предыдущей редакции</w:t>
        </w:r>
      </w:hyperlink>
    </w:p>
    <w:p w14:paraId="65DE3AD5"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33. Апелляционная комиссия состоит из председателя, не менее пяти членов из числа педагогических работников образовательной организации, не входящих в данном учебном году в состав государственных экзаменационных комиссий и секретаря. Председателем апелляционной комиссии является руководитель образовательной организации либо лицо, исполняющее в установленном порядке обязанности руководителя образовательной организации. Секретарь избирается из числа членов апелляционной комиссии.</w:t>
      </w:r>
    </w:p>
    <w:p w14:paraId="1983E90E"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34. Апелляция рассматривается на заседании апелляционной комиссии с участием не менее двух третей ее состава.</w:t>
      </w:r>
    </w:p>
    <w:p w14:paraId="7490723C"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На заседание апелляционной комиссии приглашается председатель соответствующей государственной экзаменационной комиссии.</w:t>
      </w:r>
    </w:p>
    <w:p w14:paraId="647B51D2"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Выпускник, подавший апелляцию, имеет право присутствовать при рассмотрении апелляции.</w:t>
      </w:r>
    </w:p>
    <w:p w14:paraId="69FEC00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С несовершеннолетним выпускником имеет право присутствовать один из родителей (законных представителей).</w:t>
      </w:r>
    </w:p>
    <w:p w14:paraId="6D19A51B"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Указанные лица должны иметь при себе документы, удостоверяющие личность.</w:t>
      </w:r>
    </w:p>
    <w:p w14:paraId="0BDFF17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35. Рассмотрение апелляции не является пересдачей государственной итоговой аттестации.</w:t>
      </w:r>
    </w:p>
    <w:p w14:paraId="293F81C1"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36. 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w:t>
      </w:r>
    </w:p>
    <w:p w14:paraId="046197F1"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об отклонении апелляции, если изложенные в ней сведения о нарушениях порядка проведения государственной итоговой аттестации выпускника не подтвердились и/или не повлияли на результат государственной итоговой аттестации;</w:t>
      </w:r>
    </w:p>
    <w:p w14:paraId="2F0EAF53"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об удовлетворении апелляции,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w:t>
      </w:r>
    </w:p>
    <w:p w14:paraId="6168D48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 xml:space="preserve">В последнем случае результат проведения государственной итоговой аттестации подлежит аннулированию, в связи с чем протокол о рассмотрении апелляции не позднее следующего рабочего дня передается в государственную </w:t>
      </w:r>
      <w:r w:rsidRPr="002455F2">
        <w:rPr>
          <w:rFonts w:ascii="PT Serif" w:eastAsia="Times New Roman" w:hAnsi="PT Serif" w:cs="Times New Roman"/>
          <w:color w:val="464C55"/>
          <w:sz w:val="24"/>
          <w:szCs w:val="24"/>
          <w:lang w:eastAsia="ru-RU"/>
        </w:rPr>
        <w:lastRenderedPageBreak/>
        <w:t>экзаменационную комиссию для реализации решения комиссии. Выпускнику предоставляется возможность пройти государственную итоговую аттестацию в дополнительные сроки, установленные образовательной организацией.</w:t>
      </w:r>
    </w:p>
    <w:p w14:paraId="0DADFC90"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37. Для рассмотрения апелляции о несогласии с результатами государственной итоговой аттестации, полученными при защите выпускной квалификационной работы,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выпускника.</w:t>
      </w:r>
    </w:p>
    <w:p w14:paraId="66BED8A8"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Для рассмотрения апелляции о несогласии с результатами государственной итоговой аттестации, полученными при сдаче государственного экзамена,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протокол заседания государственной экзаменационной комиссии, письменные ответы выпускника (при их наличии) и заключение председателя государственной экзаменационной комиссии о соблюдении процедурных вопросов при проведении государственного экзамена.</w:t>
      </w:r>
    </w:p>
    <w:p w14:paraId="428A95A6"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38. 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 Решение апелляционной комиссии не позднее следующего рабочего дня передается в государственную экзаменационную комиссию.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w:t>
      </w:r>
    </w:p>
    <w:p w14:paraId="599BDB5E"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39. Решение апелляционной комиссии принимается простым большинством голосов. При равном числе голосов голос председательствующего на заседании апелляционной комиссии является решающим.</w:t>
      </w:r>
    </w:p>
    <w:p w14:paraId="4B3B8BBA"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Решение апелляционной комиссии доводится до сведения подавшего апелляцию выпускника (под роспись) в течение трех рабочих дней со дня заседания апелляционной комиссии.</w:t>
      </w:r>
    </w:p>
    <w:p w14:paraId="466C2B99"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40. Решение апелляционной комиссии является окончательным и пересмотру не подлежит.</w:t>
      </w:r>
    </w:p>
    <w:p w14:paraId="3ED15BEE" w14:textId="77777777" w:rsidR="002455F2" w:rsidRPr="002455F2" w:rsidRDefault="002455F2" w:rsidP="002455F2">
      <w:pPr>
        <w:shd w:val="clear" w:color="auto" w:fill="FFFFFF"/>
        <w:spacing w:after="30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41. Решение апелляционной комиссии оформляется протоколом, который подписывается председателем и секретарем апелляционной комиссии и хранится в архиве образовательной организации.</w:t>
      </w:r>
    </w:p>
    <w:p w14:paraId="00C0A104" w14:textId="77777777" w:rsidR="002455F2" w:rsidRPr="002455F2" w:rsidRDefault="002455F2" w:rsidP="002455F2">
      <w:pPr>
        <w:shd w:val="clear" w:color="auto" w:fill="FFFFFF"/>
        <w:spacing w:after="0" w:line="240" w:lineRule="auto"/>
        <w:rPr>
          <w:rFonts w:ascii="PT Serif" w:eastAsia="Times New Roman" w:hAnsi="PT Serif" w:cs="Times New Roman"/>
          <w:color w:val="22272F"/>
          <w:sz w:val="23"/>
          <w:szCs w:val="23"/>
          <w:lang w:eastAsia="ru-RU"/>
        </w:rPr>
      </w:pPr>
      <w:r w:rsidRPr="002455F2">
        <w:rPr>
          <w:rFonts w:ascii="PT Serif" w:eastAsia="Times New Roman" w:hAnsi="PT Serif" w:cs="Times New Roman"/>
          <w:color w:val="22272F"/>
          <w:sz w:val="23"/>
          <w:szCs w:val="23"/>
          <w:lang w:eastAsia="ru-RU"/>
        </w:rPr>
        <w:lastRenderedPageBreak/>
        <w:t> </w:t>
      </w:r>
    </w:p>
    <w:p w14:paraId="78EDCAFA" w14:textId="77777777" w:rsidR="002455F2" w:rsidRPr="002455F2" w:rsidRDefault="002455F2" w:rsidP="0024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2272F"/>
          <w:sz w:val="23"/>
          <w:szCs w:val="23"/>
          <w:lang w:eastAsia="ru-RU"/>
        </w:rPr>
      </w:pPr>
      <w:r w:rsidRPr="002455F2">
        <w:rPr>
          <w:rFonts w:ascii="Courier New" w:eastAsia="Times New Roman" w:hAnsi="Courier New" w:cs="Courier New"/>
          <w:color w:val="22272F"/>
          <w:sz w:val="23"/>
          <w:szCs w:val="23"/>
          <w:lang w:eastAsia="ru-RU"/>
        </w:rPr>
        <w:t>------------------------------</w:t>
      </w:r>
    </w:p>
    <w:p w14:paraId="5590BF53" w14:textId="77777777" w:rsidR="002455F2" w:rsidRPr="002455F2" w:rsidRDefault="002455F2" w:rsidP="002455F2">
      <w:pPr>
        <w:shd w:val="clear" w:color="auto" w:fill="FFFFFF"/>
        <w:spacing w:after="0" w:line="240" w:lineRule="auto"/>
        <w:rPr>
          <w:rFonts w:ascii="PT Serif" w:eastAsia="Times New Roman" w:hAnsi="PT Serif" w:cs="Times New Roman"/>
          <w:color w:val="464C55"/>
          <w:sz w:val="24"/>
          <w:szCs w:val="24"/>
          <w:lang w:eastAsia="ru-RU"/>
        </w:rPr>
      </w:pPr>
      <w:r w:rsidRPr="002455F2">
        <w:rPr>
          <w:rFonts w:ascii="PT Serif" w:eastAsia="Times New Roman" w:hAnsi="PT Serif" w:cs="Times New Roman"/>
          <w:color w:val="464C55"/>
          <w:sz w:val="24"/>
          <w:szCs w:val="24"/>
          <w:lang w:eastAsia="ru-RU"/>
        </w:rPr>
        <w:t>* </w:t>
      </w:r>
      <w:hyperlink r:id="rId34" w:anchor="block_108695" w:history="1">
        <w:r w:rsidRPr="002455F2">
          <w:rPr>
            <w:rFonts w:ascii="PT Serif" w:eastAsia="Times New Roman" w:hAnsi="PT Serif" w:cs="Times New Roman"/>
            <w:color w:val="3272C0"/>
            <w:sz w:val="24"/>
            <w:szCs w:val="24"/>
            <w:lang w:eastAsia="ru-RU"/>
          </w:rPr>
          <w:t>Часть 6 статьи 59</w:t>
        </w:r>
      </w:hyperlink>
      <w:r w:rsidRPr="002455F2">
        <w:rPr>
          <w:rFonts w:ascii="PT Serif" w:eastAsia="Times New Roman" w:hAnsi="PT Serif" w:cs="Times New Roman"/>
          <w:color w:val="464C55"/>
          <w:sz w:val="24"/>
          <w:szCs w:val="24"/>
          <w:lang w:eastAsia="ru-RU"/>
        </w:rPr>
        <w:t>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14:paraId="59545A6C" w14:textId="77777777" w:rsidR="00D74BBE" w:rsidRDefault="00D74BBE"/>
    <w:sectPr w:rsidR="00D74B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Serif">
    <w:charset w:val="CC"/>
    <w:family w:val="roman"/>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5F2"/>
    <w:rsid w:val="002455F2"/>
    <w:rsid w:val="00D74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DE07"/>
  <w15:chartTrackingRefBased/>
  <w15:docId w15:val="{5BFCCBA8-45EF-439E-8059-745B94C2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2455F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2455F2"/>
    <w:rPr>
      <w:rFonts w:ascii="Times New Roman" w:eastAsia="Times New Roman" w:hAnsi="Times New Roman" w:cs="Times New Roman"/>
      <w:b/>
      <w:bCs/>
      <w:sz w:val="24"/>
      <w:szCs w:val="24"/>
      <w:lang w:eastAsia="ru-RU"/>
    </w:rPr>
  </w:style>
  <w:style w:type="paragraph" w:customStyle="1" w:styleId="s3">
    <w:name w:val="s_3"/>
    <w:basedOn w:val="a"/>
    <w:rsid w:val="002455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455F2"/>
    <w:rPr>
      <w:color w:val="0000FF"/>
      <w:u w:val="single"/>
    </w:rPr>
  </w:style>
  <w:style w:type="paragraph" w:customStyle="1" w:styleId="s52">
    <w:name w:val="s_52"/>
    <w:basedOn w:val="a"/>
    <w:rsid w:val="00245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245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245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45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2455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45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455F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021694">
      <w:bodyDiv w:val="1"/>
      <w:marLeft w:val="0"/>
      <w:marRight w:val="0"/>
      <w:marTop w:val="0"/>
      <w:marBottom w:val="0"/>
      <w:divBdr>
        <w:top w:val="none" w:sz="0" w:space="0" w:color="auto"/>
        <w:left w:val="none" w:sz="0" w:space="0" w:color="auto"/>
        <w:bottom w:val="none" w:sz="0" w:space="0" w:color="auto"/>
        <w:right w:val="none" w:sz="0" w:space="0" w:color="auto"/>
      </w:divBdr>
      <w:divsChild>
        <w:div w:id="1626157211">
          <w:marLeft w:val="0"/>
          <w:marRight w:val="0"/>
          <w:marTop w:val="0"/>
          <w:marBottom w:val="0"/>
          <w:divBdr>
            <w:top w:val="none" w:sz="0" w:space="0" w:color="auto"/>
            <w:left w:val="none" w:sz="0" w:space="0" w:color="auto"/>
            <w:bottom w:val="none" w:sz="0" w:space="0" w:color="auto"/>
            <w:right w:val="none" w:sz="0" w:space="0" w:color="auto"/>
          </w:divBdr>
        </w:div>
        <w:div w:id="1626892148">
          <w:marLeft w:val="0"/>
          <w:marRight w:val="0"/>
          <w:marTop w:val="0"/>
          <w:marBottom w:val="0"/>
          <w:divBdr>
            <w:top w:val="none" w:sz="0" w:space="0" w:color="auto"/>
            <w:left w:val="none" w:sz="0" w:space="0" w:color="auto"/>
            <w:bottom w:val="none" w:sz="0" w:space="0" w:color="auto"/>
            <w:right w:val="none" w:sz="0" w:space="0" w:color="auto"/>
          </w:divBdr>
          <w:divsChild>
            <w:div w:id="1117599076">
              <w:marLeft w:val="0"/>
              <w:marRight w:val="0"/>
              <w:marTop w:val="0"/>
              <w:marBottom w:val="300"/>
              <w:divBdr>
                <w:top w:val="none" w:sz="0" w:space="0" w:color="auto"/>
                <w:left w:val="none" w:sz="0" w:space="0" w:color="auto"/>
                <w:bottom w:val="none" w:sz="0" w:space="0" w:color="auto"/>
                <w:right w:val="none" w:sz="0" w:space="0" w:color="auto"/>
              </w:divBdr>
            </w:div>
          </w:divsChild>
        </w:div>
        <w:div w:id="595988083">
          <w:marLeft w:val="0"/>
          <w:marRight w:val="0"/>
          <w:marTop w:val="0"/>
          <w:marBottom w:val="0"/>
          <w:divBdr>
            <w:top w:val="none" w:sz="0" w:space="0" w:color="auto"/>
            <w:left w:val="none" w:sz="0" w:space="0" w:color="auto"/>
            <w:bottom w:val="none" w:sz="0" w:space="0" w:color="auto"/>
            <w:right w:val="none" w:sz="0" w:space="0" w:color="auto"/>
          </w:divBdr>
          <w:divsChild>
            <w:div w:id="1935167240">
              <w:marLeft w:val="0"/>
              <w:marRight w:val="0"/>
              <w:marTop w:val="0"/>
              <w:marBottom w:val="0"/>
              <w:divBdr>
                <w:top w:val="none" w:sz="0" w:space="0" w:color="auto"/>
                <w:left w:val="none" w:sz="0" w:space="0" w:color="auto"/>
                <w:bottom w:val="none" w:sz="0" w:space="0" w:color="auto"/>
                <w:right w:val="none" w:sz="0" w:space="0" w:color="auto"/>
              </w:divBdr>
            </w:div>
            <w:div w:id="1735202833">
              <w:marLeft w:val="0"/>
              <w:marRight w:val="0"/>
              <w:marTop w:val="0"/>
              <w:marBottom w:val="0"/>
              <w:divBdr>
                <w:top w:val="none" w:sz="0" w:space="0" w:color="auto"/>
                <w:left w:val="none" w:sz="0" w:space="0" w:color="auto"/>
                <w:bottom w:val="none" w:sz="0" w:space="0" w:color="auto"/>
                <w:right w:val="none" w:sz="0" w:space="0" w:color="auto"/>
              </w:divBdr>
              <w:divsChild>
                <w:div w:id="943457717">
                  <w:marLeft w:val="0"/>
                  <w:marRight w:val="0"/>
                  <w:marTop w:val="0"/>
                  <w:marBottom w:val="0"/>
                  <w:divBdr>
                    <w:top w:val="none" w:sz="0" w:space="0" w:color="auto"/>
                    <w:left w:val="none" w:sz="0" w:space="0" w:color="auto"/>
                    <w:bottom w:val="none" w:sz="0" w:space="0" w:color="auto"/>
                    <w:right w:val="none" w:sz="0" w:space="0" w:color="auto"/>
                  </w:divBdr>
                  <w:divsChild>
                    <w:div w:id="329659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13578415">
              <w:marLeft w:val="0"/>
              <w:marRight w:val="0"/>
              <w:marTop w:val="0"/>
              <w:marBottom w:val="0"/>
              <w:divBdr>
                <w:top w:val="none" w:sz="0" w:space="0" w:color="auto"/>
                <w:left w:val="none" w:sz="0" w:space="0" w:color="auto"/>
                <w:bottom w:val="none" w:sz="0" w:space="0" w:color="auto"/>
                <w:right w:val="none" w:sz="0" w:space="0" w:color="auto"/>
              </w:divBdr>
            </w:div>
            <w:div w:id="947394549">
              <w:marLeft w:val="0"/>
              <w:marRight w:val="0"/>
              <w:marTop w:val="0"/>
              <w:marBottom w:val="0"/>
              <w:divBdr>
                <w:top w:val="none" w:sz="0" w:space="0" w:color="auto"/>
                <w:left w:val="none" w:sz="0" w:space="0" w:color="auto"/>
                <w:bottom w:val="none" w:sz="0" w:space="0" w:color="auto"/>
                <w:right w:val="none" w:sz="0" w:space="0" w:color="auto"/>
              </w:divBdr>
            </w:div>
            <w:div w:id="289674499">
              <w:marLeft w:val="0"/>
              <w:marRight w:val="0"/>
              <w:marTop w:val="0"/>
              <w:marBottom w:val="0"/>
              <w:divBdr>
                <w:top w:val="none" w:sz="0" w:space="0" w:color="auto"/>
                <w:left w:val="none" w:sz="0" w:space="0" w:color="auto"/>
                <w:bottom w:val="none" w:sz="0" w:space="0" w:color="auto"/>
                <w:right w:val="none" w:sz="0" w:space="0" w:color="auto"/>
              </w:divBdr>
            </w:div>
          </w:divsChild>
        </w:div>
        <w:div w:id="2101096540">
          <w:marLeft w:val="0"/>
          <w:marRight w:val="0"/>
          <w:marTop w:val="0"/>
          <w:marBottom w:val="0"/>
          <w:divBdr>
            <w:top w:val="none" w:sz="0" w:space="0" w:color="auto"/>
            <w:left w:val="none" w:sz="0" w:space="0" w:color="auto"/>
            <w:bottom w:val="none" w:sz="0" w:space="0" w:color="auto"/>
            <w:right w:val="none" w:sz="0" w:space="0" w:color="auto"/>
          </w:divBdr>
          <w:divsChild>
            <w:div w:id="1717121109">
              <w:marLeft w:val="0"/>
              <w:marRight w:val="0"/>
              <w:marTop w:val="0"/>
              <w:marBottom w:val="0"/>
              <w:divBdr>
                <w:top w:val="none" w:sz="0" w:space="0" w:color="auto"/>
                <w:left w:val="none" w:sz="0" w:space="0" w:color="auto"/>
                <w:bottom w:val="none" w:sz="0" w:space="0" w:color="auto"/>
                <w:right w:val="none" w:sz="0" w:space="0" w:color="auto"/>
              </w:divBdr>
              <w:divsChild>
                <w:div w:id="1382366398">
                  <w:marLeft w:val="0"/>
                  <w:marRight w:val="0"/>
                  <w:marTop w:val="0"/>
                  <w:marBottom w:val="300"/>
                  <w:divBdr>
                    <w:top w:val="none" w:sz="0" w:space="0" w:color="auto"/>
                    <w:left w:val="none" w:sz="0" w:space="0" w:color="auto"/>
                    <w:bottom w:val="none" w:sz="0" w:space="0" w:color="auto"/>
                    <w:right w:val="none" w:sz="0" w:space="0" w:color="auto"/>
                  </w:divBdr>
                </w:div>
              </w:divsChild>
            </w:div>
            <w:div w:id="165942762">
              <w:marLeft w:val="0"/>
              <w:marRight w:val="0"/>
              <w:marTop w:val="0"/>
              <w:marBottom w:val="0"/>
              <w:divBdr>
                <w:top w:val="none" w:sz="0" w:space="0" w:color="auto"/>
                <w:left w:val="none" w:sz="0" w:space="0" w:color="auto"/>
                <w:bottom w:val="none" w:sz="0" w:space="0" w:color="auto"/>
                <w:right w:val="none" w:sz="0" w:space="0" w:color="auto"/>
              </w:divBdr>
              <w:divsChild>
                <w:div w:id="1423650142">
                  <w:marLeft w:val="0"/>
                  <w:marRight w:val="0"/>
                  <w:marTop w:val="0"/>
                  <w:marBottom w:val="300"/>
                  <w:divBdr>
                    <w:top w:val="none" w:sz="0" w:space="0" w:color="auto"/>
                    <w:left w:val="none" w:sz="0" w:space="0" w:color="auto"/>
                    <w:bottom w:val="none" w:sz="0" w:space="0" w:color="auto"/>
                    <w:right w:val="none" w:sz="0" w:space="0" w:color="auto"/>
                  </w:divBdr>
                </w:div>
                <w:div w:id="290675495">
                  <w:marLeft w:val="0"/>
                  <w:marRight w:val="0"/>
                  <w:marTop w:val="0"/>
                  <w:marBottom w:val="300"/>
                  <w:divBdr>
                    <w:top w:val="none" w:sz="0" w:space="0" w:color="auto"/>
                    <w:left w:val="none" w:sz="0" w:space="0" w:color="auto"/>
                    <w:bottom w:val="none" w:sz="0" w:space="0" w:color="auto"/>
                    <w:right w:val="none" w:sz="0" w:space="0" w:color="auto"/>
                  </w:divBdr>
                </w:div>
              </w:divsChild>
            </w:div>
            <w:div w:id="851648818">
              <w:marLeft w:val="0"/>
              <w:marRight w:val="0"/>
              <w:marTop w:val="0"/>
              <w:marBottom w:val="0"/>
              <w:divBdr>
                <w:top w:val="none" w:sz="0" w:space="0" w:color="auto"/>
                <w:left w:val="none" w:sz="0" w:space="0" w:color="auto"/>
                <w:bottom w:val="none" w:sz="0" w:space="0" w:color="auto"/>
                <w:right w:val="none" w:sz="0" w:space="0" w:color="auto"/>
              </w:divBdr>
              <w:divsChild>
                <w:div w:id="898055390">
                  <w:marLeft w:val="0"/>
                  <w:marRight w:val="0"/>
                  <w:marTop w:val="0"/>
                  <w:marBottom w:val="300"/>
                  <w:divBdr>
                    <w:top w:val="none" w:sz="0" w:space="0" w:color="auto"/>
                    <w:left w:val="none" w:sz="0" w:space="0" w:color="auto"/>
                    <w:bottom w:val="none" w:sz="0" w:space="0" w:color="auto"/>
                    <w:right w:val="none" w:sz="0" w:space="0" w:color="auto"/>
                  </w:divBdr>
                </w:div>
              </w:divsChild>
            </w:div>
            <w:div w:id="404840725">
              <w:marLeft w:val="0"/>
              <w:marRight w:val="0"/>
              <w:marTop w:val="0"/>
              <w:marBottom w:val="0"/>
              <w:divBdr>
                <w:top w:val="none" w:sz="0" w:space="0" w:color="auto"/>
                <w:left w:val="none" w:sz="0" w:space="0" w:color="auto"/>
                <w:bottom w:val="none" w:sz="0" w:space="0" w:color="auto"/>
                <w:right w:val="none" w:sz="0" w:space="0" w:color="auto"/>
              </w:divBdr>
            </w:div>
          </w:divsChild>
        </w:div>
        <w:div w:id="412355835">
          <w:marLeft w:val="0"/>
          <w:marRight w:val="0"/>
          <w:marTop w:val="0"/>
          <w:marBottom w:val="0"/>
          <w:divBdr>
            <w:top w:val="none" w:sz="0" w:space="0" w:color="auto"/>
            <w:left w:val="none" w:sz="0" w:space="0" w:color="auto"/>
            <w:bottom w:val="none" w:sz="0" w:space="0" w:color="auto"/>
            <w:right w:val="none" w:sz="0" w:space="0" w:color="auto"/>
          </w:divBdr>
          <w:divsChild>
            <w:div w:id="909968830">
              <w:marLeft w:val="0"/>
              <w:marRight w:val="0"/>
              <w:marTop w:val="0"/>
              <w:marBottom w:val="0"/>
              <w:divBdr>
                <w:top w:val="none" w:sz="0" w:space="0" w:color="auto"/>
                <w:left w:val="none" w:sz="0" w:space="0" w:color="auto"/>
                <w:bottom w:val="none" w:sz="0" w:space="0" w:color="auto"/>
                <w:right w:val="none" w:sz="0" w:space="0" w:color="auto"/>
              </w:divBdr>
              <w:divsChild>
                <w:div w:id="1036665175">
                  <w:marLeft w:val="0"/>
                  <w:marRight w:val="0"/>
                  <w:marTop w:val="0"/>
                  <w:marBottom w:val="300"/>
                  <w:divBdr>
                    <w:top w:val="none" w:sz="0" w:space="0" w:color="auto"/>
                    <w:left w:val="none" w:sz="0" w:space="0" w:color="auto"/>
                    <w:bottom w:val="none" w:sz="0" w:space="0" w:color="auto"/>
                    <w:right w:val="none" w:sz="0" w:space="0" w:color="auto"/>
                  </w:divBdr>
                </w:div>
              </w:divsChild>
            </w:div>
            <w:div w:id="1292632731">
              <w:marLeft w:val="0"/>
              <w:marRight w:val="0"/>
              <w:marTop w:val="0"/>
              <w:marBottom w:val="0"/>
              <w:divBdr>
                <w:top w:val="none" w:sz="0" w:space="0" w:color="auto"/>
                <w:left w:val="none" w:sz="0" w:space="0" w:color="auto"/>
                <w:bottom w:val="none" w:sz="0" w:space="0" w:color="auto"/>
                <w:right w:val="none" w:sz="0" w:space="0" w:color="auto"/>
              </w:divBdr>
            </w:div>
            <w:div w:id="1787308187">
              <w:marLeft w:val="0"/>
              <w:marRight w:val="0"/>
              <w:marTop w:val="0"/>
              <w:marBottom w:val="0"/>
              <w:divBdr>
                <w:top w:val="none" w:sz="0" w:space="0" w:color="auto"/>
                <w:left w:val="none" w:sz="0" w:space="0" w:color="auto"/>
                <w:bottom w:val="none" w:sz="0" w:space="0" w:color="auto"/>
                <w:right w:val="none" w:sz="0" w:space="0" w:color="auto"/>
              </w:divBdr>
              <w:divsChild>
                <w:div w:id="207257018">
                  <w:marLeft w:val="0"/>
                  <w:marRight w:val="0"/>
                  <w:marTop w:val="0"/>
                  <w:marBottom w:val="300"/>
                  <w:divBdr>
                    <w:top w:val="none" w:sz="0" w:space="0" w:color="auto"/>
                    <w:left w:val="none" w:sz="0" w:space="0" w:color="auto"/>
                    <w:bottom w:val="none" w:sz="0" w:space="0" w:color="auto"/>
                    <w:right w:val="none" w:sz="0" w:space="0" w:color="auto"/>
                  </w:divBdr>
                </w:div>
              </w:divsChild>
            </w:div>
            <w:div w:id="1210412607">
              <w:marLeft w:val="0"/>
              <w:marRight w:val="0"/>
              <w:marTop w:val="0"/>
              <w:marBottom w:val="0"/>
              <w:divBdr>
                <w:top w:val="none" w:sz="0" w:space="0" w:color="auto"/>
                <w:left w:val="none" w:sz="0" w:space="0" w:color="auto"/>
                <w:bottom w:val="none" w:sz="0" w:space="0" w:color="auto"/>
                <w:right w:val="none" w:sz="0" w:space="0" w:color="auto"/>
              </w:divBdr>
            </w:div>
            <w:div w:id="1356927776">
              <w:marLeft w:val="0"/>
              <w:marRight w:val="0"/>
              <w:marTop w:val="0"/>
              <w:marBottom w:val="0"/>
              <w:divBdr>
                <w:top w:val="none" w:sz="0" w:space="0" w:color="auto"/>
                <w:left w:val="none" w:sz="0" w:space="0" w:color="auto"/>
                <w:bottom w:val="none" w:sz="0" w:space="0" w:color="auto"/>
                <w:right w:val="none" w:sz="0" w:space="0" w:color="auto"/>
              </w:divBdr>
              <w:divsChild>
                <w:div w:id="315498547">
                  <w:marLeft w:val="0"/>
                  <w:marRight w:val="0"/>
                  <w:marTop w:val="0"/>
                  <w:marBottom w:val="300"/>
                  <w:divBdr>
                    <w:top w:val="none" w:sz="0" w:space="0" w:color="auto"/>
                    <w:left w:val="none" w:sz="0" w:space="0" w:color="auto"/>
                    <w:bottom w:val="none" w:sz="0" w:space="0" w:color="auto"/>
                    <w:right w:val="none" w:sz="0" w:space="0" w:color="auto"/>
                  </w:divBdr>
                </w:div>
              </w:divsChild>
            </w:div>
            <w:div w:id="306517905">
              <w:marLeft w:val="0"/>
              <w:marRight w:val="0"/>
              <w:marTop w:val="0"/>
              <w:marBottom w:val="0"/>
              <w:divBdr>
                <w:top w:val="none" w:sz="0" w:space="0" w:color="auto"/>
                <w:left w:val="none" w:sz="0" w:space="0" w:color="auto"/>
                <w:bottom w:val="none" w:sz="0" w:space="0" w:color="auto"/>
                <w:right w:val="none" w:sz="0" w:space="0" w:color="auto"/>
              </w:divBdr>
              <w:divsChild>
                <w:div w:id="1292590474">
                  <w:marLeft w:val="0"/>
                  <w:marRight w:val="0"/>
                  <w:marTop w:val="0"/>
                  <w:marBottom w:val="300"/>
                  <w:divBdr>
                    <w:top w:val="none" w:sz="0" w:space="0" w:color="auto"/>
                    <w:left w:val="none" w:sz="0" w:space="0" w:color="auto"/>
                    <w:bottom w:val="none" w:sz="0" w:space="0" w:color="auto"/>
                    <w:right w:val="none" w:sz="0" w:space="0" w:color="auto"/>
                  </w:divBdr>
                </w:div>
              </w:divsChild>
            </w:div>
            <w:div w:id="1135681314">
              <w:marLeft w:val="0"/>
              <w:marRight w:val="0"/>
              <w:marTop w:val="0"/>
              <w:marBottom w:val="0"/>
              <w:divBdr>
                <w:top w:val="none" w:sz="0" w:space="0" w:color="auto"/>
                <w:left w:val="none" w:sz="0" w:space="0" w:color="auto"/>
                <w:bottom w:val="none" w:sz="0" w:space="0" w:color="auto"/>
                <w:right w:val="none" w:sz="0" w:space="0" w:color="auto"/>
              </w:divBdr>
              <w:divsChild>
                <w:div w:id="515659690">
                  <w:marLeft w:val="0"/>
                  <w:marRight w:val="0"/>
                  <w:marTop w:val="0"/>
                  <w:marBottom w:val="300"/>
                  <w:divBdr>
                    <w:top w:val="none" w:sz="0" w:space="0" w:color="auto"/>
                    <w:left w:val="none" w:sz="0" w:space="0" w:color="auto"/>
                    <w:bottom w:val="none" w:sz="0" w:space="0" w:color="auto"/>
                    <w:right w:val="none" w:sz="0" w:space="0" w:color="auto"/>
                  </w:divBdr>
                </w:div>
              </w:divsChild>
            </w:div>
            <w:div w:id="2100249578">
              <w:marLeft w:val="0"/>
              <w:marRight w:val="0"/>
              <w:marTop w:val="0"/>
              <w:marBottom w:val="0"/>
              <w:divBdr>
                <w:top w:val="none" w:sz="0" w:space="0" w:color="auto"/>
                <w:left w:val="none" w:sz="0" w:space="0" w:color="auto"/>
                <w:bottom w:val="none" w:sz="0" w:space="0" w:color="auto"/>
                <w:right w:val="none" w:sz="0" w:space="0" w:color="auto"/>
              </w:divBdr>
            </w:div>
            <w:div w:id="1735160187">
              <w:marLeft w:val="0"/>
              <w:marRight w:val="0"/>
              <w:marTop w:val="0"/>
              <w:marBottom w:val="0"/>
              <w:divBdr>
                <w:top w:val="none" w:sz="0" w:space="0" w:color="auto"/>
                <w:left w:val="none" w:sz="0" w:space="0" w:color="auto"/>
                <w:bottom w:val="none" w:sz="0" w:space="0" w:color="auto"/>
                <w:right w:val="none" w:sz="0" w:space="0" w:color="auto"/>
              </w:divBdr>
              <w:divsChild>
                <w:div w:id="2347053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13518065">
          <w:marLeft w:val="0"/>
          <w:marRight w:val="0"/>
          <w:marTop w:val="0"/>
          <w:marBottom w:val="0"/>
          <w:divBdr>
            <w:top w:val="none" w:sz="0" w:space="0" w:color="auto"/>
            <w:left w:val="none" w:sz="0" w:space="0" w:color="auto"/>
            <w:bottom w:val="none" w:sz="0" w:space="0" w:color="auto"/>
            <w:right w:val="none" w:sz="0" w:space="0" w:color="auto"/>
          </w:divBdr>
          <w:divsChild>
            <w:div w:id="1129085941">
              <w:marLeft w:val="0"/>
              <w:marRight w:val="0"/>
              <w:marTop w:val="0"/>
              <w:marBottom w:val="0"/>
              <w:divBdr>
                <w:top w:val="none" w:sz="0" w:space="0" w:color="auto"/>
                <w:left w:val="none" w:sz="0" w:space="0" w:color="auto"/>
                <w:bottom w:val="none" w:sz="0" w:space="0" w:color="auto"/>
                <w:right w:val="none" w:sz="0" w:space="0" w:color="auto"/>
              </w:divBdr>
              <w:divsChild>
                <w:div w:id="272565233">
                  <w:marLeft w:val="0"/>
                  <w:marRight w:val="0"/>
                  <w:marTop w:val="0"/>
                  <w:marBottom w:val="300"/>
                  <w:divBdr>
                    <w:top w:val="none" w:sz="0" w:space="0" w:color="auto"/>
                    <w:left w:val="none" w:sz="0" w:space="0" w:color="auto"/>
                    <w:bottom w:val="none" w:sz="0" w:space="0" w:color="auto"/>
                    <w:right w:val="none" w:sz="0" w:space="0" w:color="auto"/>
                  </w:divBdr>
                </w:div>
              </w:divsChild>
            </w:div>
            <w:div w:id="114326559">
              <w:marLeft w:val="0"/>
              <w:marRight w:val="0"/>
              <w:marTop w:val="0"/>
              <w:marBottom w:val="0"/>
              <w:divBdr>
                <w:top w:val="none" w:sz="0" w:space="0" w:color="auto"/>
                <w:left w:val="none" w:sz="0" w:space="0" w:color="auto"/>
                <w:bottom w:val="none" w:sz="0" w:space="0" w:color="auto"/>
                <w:right w:val="none" w:sz="0" w:space="0" w:color="auto"/>
              </w:divBdr>
            </w:div>
            <w:div w:id="1462764714">
              <w:marLeft w:val="0"/>
              <w:marRight w:val="0"/>
              <w:marTop w:val="0"/>
              <w:marBottom w:val="0"/>
              <w:divBdr>
                <w:top w:val="none" w:sz="0" w:space="0" w:color="auto"/>
                <w:left w:val="none" w:sz="0" w:space="0" w:color="auto"/>
                <w:bottom w:val="none" w:sz="0" w:space="0" w:color="auto"/>
                <w:right w:val="none" w:sz="0" w:space="0" w:color="auto"/>
              </w:divBdr>
            </w:div>
            <w:div w:id="1419600815">
              <w:marLeft w:val="0"/>
              <w:marRight w:val="0"/>
              <w:marTop w:val="0"/>
              <w:marBottom w:val="0"/>
              <w:divBdr>
                <w:top w:val="none" w:sz="0" w:space="0" w:color="auto"/>
                <w:left w:val="none" w:sz="0" w:space="0" w:color="auto"/>
                <w:bottom w:val="none" w:sz="0" w:space="0" w:color="auto"/>
                <w:right w:val="none" w:sz="0" w:space="0" w:color="auto"/>
              </w:divBdr>
              <w:divsChild>
                <w:div w:id="2137478856">
                  <w:marLeft w:val="0"/>
                  <w:marRight w:val="0"/>
                  <w:marTop w:val="0"/>
                  <w:marBottom w:val="300"/>
                  <w:divBdr>
                    <w:top w:val="none" w:sz="0" w:space="0" w:color="auto"/>
                    <w:left w:val="none" w:sz="0" w:space="0" w:color="auto"/>
                    <w:bottom w:val="none" w:sz="0" w:space="0" w:color="auto"/>
                    <w:right w:val="none" w:sz="0" w:space="0" w:color="auto"/>
                  </w:divBdr>
                </w:div>
              </w:divsChild>
            </w:div>
            <w:div w:id="1558973118">
              <w:marLeft w:val="0"/>
              <w:marRight w:val="0"/>
              <w:marTop w:val="0"/>
              <w:marBottom w:val="0"/>
              <w:divBdr>
                <w:top w:val="none" w:sz="0" w:space="0" w:color="auto"/>
                <w:left w:val="none" w:sz="0" w:space="0" w:color="auto"/>
                <w:bottom w:val="none" w:sz="0" w:space="0" w:color="auto"/>
                <w:right w:val="none" w:sz="0" w:space="0" w:color="auto"/>
              </w:divBdr>
            </w:div>
            <w:div w:id="712773468">
              <w:marLeft w:val="0"/>
              <w:marRight w:val="0"/>
              <w:marTop w:val="0"/>
              <w:marBottom w:val="0"/>
              <w:divBdr>
                <w:top w:val="none" w:sz="0" w:space="0" w:color="auto"/>
                <w:left w:val="none" w:sz="0" w:space="0" w:color="auto"/>
                <w:bottom w:val="none" w:sz="0" w:space="0" w:color="auto"/>
                <w:right w:val="none" w:sz="0" w:space="0" w:color="auto"/>
              </w:divBdr>
            </w:div>
            <w:div w:id="1193686582">
              <w:marLeft w:val="0"/>
              <w:marRight w:val="0"/>
              <w:marTop w:val="0"/>
              <w:marBottom w:val="0"/>
              <w:divBdr>
                <w:top w:val="none" w:sz="0" w:space="0" w:color="auto"/>
                <w:left w:val="none" w:sz="0" w:space="0" w:color="auto"/>
                <w:bottom w:val="none" w:sz="0" w:space="0" w:color="auto"/>
                <w:right w:val="none" w:sz="0" w:space="0" w:color="auto"/>
              </w:divBdr>
            </w:div>
            <w:div w:id="1470170406">
              <w:marLeft w:val="0"/>
              <w:marRight w:val="0"/>
              <w:marTop w:val="0"/>
              <w:marBottom w:val="0"/>
              <w:divBdr>
                <w:top w:val="none" w:sz="0" w:space="0" w:color="auto"/>
                <w:left w:val="none" w:sz="0" w:space="0" w:color="auto"/>
                <w:bottom w:val="none" w:sz="0" w:space="0" w:color="auto"/>
                <w:right w:val="none" w:sz="0" w:space="0" w:color="auto"/>
              </w:divBdr>
            </w:div>
            <w:div w:id="206332518">
              <w:marLeft w:val="0"/>
              <w:marRight w:val="0"/>
              <w:marTop w:val="0"/>
              <w:marBottom w:val="0"/>
              <w:divBdr>
                <w:top w:val="none" w:sz="0" w:space="0" w:color="auto"/>
                <w:left w:val="none" w:sz="0" w:space="0" w:color="auto"/>
                <w:bottom w:val="none" w:sz="0" w:space="0" w:color="auto"/>
                <w:right w:val="none" w:sz="0" w:space="0" w:color="auto"/>
              </w:divBdr>
            </w:div>
            <w:div w:id="41367428">
              <w:marLeft w:val="0"/>
              <w:marRight w:val="0"/>
              <w:marTop w:val="0"/>
              <w:marBottom w:val="0"/>
              <w:divBdr>
                <w:top w:val="none" w:sz="0" w:space="0" w:color="auto"/>
                <w:left w:val="none" w:sz="0" w:space="0" w:color="auto"/>
                <w:bottom w:val="none" w:sz="0" w:space="0" w:color="auto"/>
                <w:right w:val="none" w:sz="0" w:space="0" w:color="auto"/>
              </w:divBdr>
            </w:div>
          </w:divsChild>
        </w:div>
        <w:div w:id="1308434703">
          <w:marLeft w:val="0"/>
          <w:marRight w:val="0"/>
          <w:marTop w:val="0"/>
          <w:marBottom w:val="0"/>
          <w:divBdr>
            <w:top w:val="none" w:sz="0" w:space="0" w:color="auto"/>
            <w:left w:val="none" w:sz="0" w:space="0" w:color="auto"/>
            <w:bottom w:val="none" w:sz="0" w:space="0" w:color="auto"/>
            <w:right w:val="none" w:sz="0" w:space="0" w:color="auto"/>
          </w:divBdr>
          <w:divsChild>
            <w:div w:id="894512491">
              <w:marLeft w:val="0"/>
              <w:marRight w:val="0"/>
              <w:marTop w:val="0"/>
              <w:marBottom w:val="0"/>
              <w:divBdr>
                <w:top w:val="none" w:sz="0" w:space="0" w:color="auto"/>
                <w:left w:val="none" w:sz="0" w:space="0" w:color="auto"/>
                <w:bottom w:val="none" w:sz="0" w:space="0" w:color="auto"/>
                <w:right w:val="none" w:sz="0" w:space="0" w:color="auto"/>
              </w:divBdr>
            </w:div>
            <w:div w:id="1711105156">
              <w:marLeft w:val="0"/>
              <w:marRight w:val="0"/>
              <w:marTop w:val="0"/>
              <w:marBottom w:val="0"/>
              <w:divBdr>
                <w:top w:val="none" w:sz="0" w:space="0" w:color="auto"/>
                <w:left w:val="none" w:sz="0" w:space="0" w:color="auto"/>
                <w:bottom w:val="none" w:sz="0" w:space="0" w:color="auto"/>
                <w:right w:val="none" w:sz="0" w:space="0" w:color="auto"/>
              </w:divBdr>
            </w:div>
            <w:div w:id="1545436653">
              <w:marLeft w:val="0"/>
              <w:marRight w:val="0"/>
              <w:marTop w:val="0"/>
              <w:marBottom w:val="0"/>
              <w:divBdr>
                <w:top w:val="none" w:sz="0" w:space="0" w:color="auto"/>
                <w:left w:val="none" w:sz="0" w:space="0" w:color="auto"/>
                <w:bottom w:val="none" w:sz="0" w:space="0" w:color="auto"/>
                <w:right w:val="none" w:sz="0" w:space="0" w:color="auto"/>
              </w:divBdr>
              <w:divsChild>
                <w:div w:id="1219976138">
                  <w:marLeft w:val="0"/>
                  <w:marRight w:val="0"/>
                  <w:marTop w:val="0"/>
                  <w:marBottom w:val="0"/>
                  <w:divBdr>
                    <w:top w:val="none" w:sz="0" w:space="0" w:color="auto"/>
                    <w:left w:val="none" w:sz="0" w:space="0" w:color="auto"/>
                    <w:bottom w:val="none" w:sz="0" w:space="0" w:color="auto"/>
                    <w:right w:val="none" w:sz="0" w:space="0" w:color="auto"/>
                  </w:divBdr>
                </w:div>
                <w:div w:id="2084401650">
                  <w:marLeft w:val="0"/>
                  <w:marRight w:val="0"/>
                  <w:marTop w:val="0"/>
                  <w:marBottom w:val="0"/>
                  <w:divBdr>
                    <w:top w:val="none" w:sz="0" w:space="0" w:color="auto"/>
                    <w:left w:val="none" w:sz="0" w:space="0" w:color="auto"/>
                    <w:bottom w:val="none" w:sz="0" w:space="0" w:color="auto"/>
                    <w:right w:val="none" w:sz="0" w:space="0" w:color="auto"/>
                  </w:divBdr>
                </w:div>
                <w:div w:id="1928732411">
                  <w:marLeft w:val="0"/>
                  <w:marRight w:val="0"/>
                  <w:marTop w:val="0"/>
                  <w:marBottom w:val="0"/>
                  <w:divBdr>
                    <w:top w:val="none" w:sz="0" w:space="0" w:color="auto"/>
                    <w:left w:val="none" w:sz="0" w:space="0" w:color="auto"/>
                    <w:bottom w:val="none" w:sz="0" w:space="0" w:color="auto"/>
                    <w:right w:val="none" w:sz="0" w:space="0" w:color="auto"/>
                  </w:divBdr>
                </w:div>
                <w:div w:id="624427591">
                  <w:marLeft w:val="0"/>
                  <w:marRight w:val="0"/>
                  <w:marTop w:val="0"/>
                  <w:marBottom w:val="0"/>
                  <w:divBdr>
                    <w:top w:val="none" w:sz="0" w:space="0" w:color="auto"/>
                    <w:left w:val="none" w:sz="0" w:space="0" w:color="auto"/>
                    <w:bottom w:val="none" w:sz="0" w:space="0" w:color="auto"/>
                    <w:right w:val="none" w:sz="0" w:space="0" w:color="auto"/>
                  </w:divBdr>
                  <w:divsChild>
                    <w:div w:id="108814834">
                      <w:marLeft w:val="0"/>
                      <w:marRight w:val="0"/>
                      <w:marTop w:val="0"/>
                      <w:marBottom w:val="300"/>
                      <w:divBdr>
                        <w:top w:val="none" w:sz="0" w:space="0" w:color="auto"/>
                        <w:left w:val="none" w:sz="0" w:space="0" w:color="auto"/>
                        <w:bottom w:val="none" w:sz="0" w:space="0" w:color="auto"/>
                        <w:right w:val="none" w:sz="0" w:space="0" w:color="auto"/>
                      </w:divBdr>
                    </w:div>
                  </w:divsChild>
                </w:div>
                <w:div w:id="1657608346">
                  <w:marLeft w:val="0"/>
                  <w:marRight w:val="0"/>
                  <w:marTop w:val="0"/>
                  <w:marBottom w:val="0"/>
                  <w:divBdr>
                    <w:top w:val="none" w:sz="0" w:space="0" w:color="auto"/>
                    <w:left w:val="none" w:sz="0" w:space="0" w:color="auto"/>
                    <w:bottom w:val="none" w:sz="0" w:space="0" w:color="auto"/>
                    <w:right w:val="none" w:sz="0" w:space="0" w:color="auto"/>
                  </w:divBdr>
                </w:div>
              </w:divsChild>
            </w:div>
            <w:div w:id="455757882">
              <w:marLeft w:val="0"/>
              <w:marRight w:val="0"/>
              <w:marTop w:val="0"/>
              <w:marBottom w:val="0"/>
              <w:divBdr>
                <w:top w:val="none" w:sz="0" w:space="0" w:color="auto"/>
                <w:left w:val="none" w:sz="0" w:space="0" w:color="auto"/>
                <w:bottom w:val="none" w:sz="0" w:space="0" w:color="auto"/>
                <w:right w:val="none" w:sz="0" w:space="0" w:color="auto"/>
              </w:divBdr>
            </w:div>
          </w:divsChild>
        </w:div>
        <w:div w:id="426461128">
          <w:marLeft w:val="0"/>
          <w:marRight w:val="0"/>
          <w:marTop w:val="0"/>
          <w:marBottom w:val="0"/>
          <w:divBdr>
            <w:top w:val="none" w:sz="0" w:space="0" w:color="auto"/>
            <w:left w:val="none" w:sz="0" w:space="0" w:color="auto"/>
            <w:bottom w:val="none" w:sz="0" w:space="0" w:color="auto"/>
            <w:right w:val="none" w:sz="0" w:space="0" w:color="auto"/>
          </w:divBdr>
          <w:divsChild>
            <w:div w:id="1345593607">
              <w:marLeft w:val="0"/>
              <w:marRight w:val="0"/>
              <w:marTop w:val="0"/>
              <w:marBottom w:val="300"/>
              <w:divBdr>
                <w:top w:val="none" w:sz="0" w:space="0" w:color="auto"/>
                <w:left w:val="none" w:sz="0" w:space="0" w:color="auto"/>
                <w:bottom w:val="none" w:sz="0" w:space="0" w:color="auto"/>
                <w:right w:val="none" w:sz="0" w:space="0" w:color="auto"/>
              </w:divBdr>
            </w:div>
          </w:divsChild>
        </w:div>
        <w:div w:id="37821710">
          <w:marLeft w:val="0"/>
          <w:marRight w:val="0"/>
          <w:marTop w:val="0"/>
          <w:marBottom w:val="0"/>
          <w:divBdr>
            <w:top w:val="none" w:sz="0" w:space="0" w:color="auto"/>
            <w:left w:val="none" w:sz="0" w:space="0" w:color="auto"/>
            <w:bottom w:val="none" w:sz="0" w:space="0" w:color="auto"/>
            <w:right w:val="none" w:sz="0" w:space="0" w:color="auto"/>
          </w:divBdr>
          <w:divsChild>
            <w:div w:id="1358431952">
              <w:marLeft w:val="0"/>
              <w:marRight w:val="0"/>
              <w:marTop w:val="0"/>
              <w:marBottom w:val="0"/>
              <w:divBdr>
                <w:top w:val="none" w:sz="0" w:space="0" w:color="auto"/>
                <w:left w:val="none" w:sz="0" w:space="0" w:color="auto"/>
                <w:bottom w:val="none" w:sz="0" w:space="0" w:color="auto"/>
                <w:right w:val="none" w:sz="0" w:space="0" w:color="auto"/>
              </w:divBdr>
            </w:div>
            <w:div w:id="1363625377">
              <w:marLeft w:val="0"/>
              <w:marRight w:val="0"/>
              <w:marTop w:val="0"/>
              <w:marBottom w:val="0"/>
              <w:divBdr>
                <w:top w:val="none" w:sz="0" w:space="0" w:color="auto"/>
                <w:left w:val="none" w:sz="0" w:space="0" w:color="auto"/>
                <w:bottom w:val="none" w:sz="0" w:space="0" w:color="auto"/>
                <w:right w:val="none" w:sz="0" w:space="0" w:color="auto"/>
              </w:divBdr>
            </w:div>
            <w:div w:id="1239973543">
              <w:marLeft w:val="0"/>
              <w:marRight w:val="0"/>
              <w:marTop w:val="0"/>
              <w:marBottom w:val="0"/>
              <w:divBdr>
                <w:top w:val="none" w:sz="0" w:space="0" w:color="auto"/>
                <w:left w:val="none" w:sz="0" w:space="0" w:color="auto"/>
                <w:bottom w:val="none" w:sz="0" w:space="0" w:color="auto"/>
                <w:right w:val="none" w:sz="0" w:space="0" w:color="auto"/>
              </w:divBdr>
            </w:div>
            <w:div w:id="2141921896">
              <w:marLeft w:val="0"/>
              <w:marRight w:val="0"/>
              <w:marTop w:val="0"/>
              <w:marBottom w:val="0"/>
              <w:divBdr>
                <w:top w:val="none" w:sz="0" w:space="0" w:color="auto"/>
                <w:left w:val="none" w:sz="0" w:space="0" w:color="auto"/>
                <w:bottom w:val="none" w:sz="0" w:space="0" w:color="auto"/>
                <w:right w:val="none" w:sz="0" w:space="0" w:color="auto"/>
              </w:divBdr>
            </w:div>
            <w:div w:id="2095735579">
              <w:marLeft w:val="0"/>
              <w:marRight w:val="0"/>
              <w:marTop w:val="0"/>
              <w:marBottom w:val="0"/>
              <w:divBdr>
                <w:top w:val="none" w:sz="0" w:space="0" w:color="auto"/>
                <w:left w:val="none" w:sz="0" w:space="0" w:color="auto"/>
                <w:bottom w:val="none" w:sz="0" w:space="0" w:color="auto"/>
                <w:right w:val="none" w:sz="0" w:space="0" w:color="auto"/>
              </w:divBdr>
              <w:divsChild>
                <w:div w:id="240482372">
                  <w:marLeft w:val="0"/>
                  <w:marRight w:val="0"/>
                  <w:marTop w:val="0"/>
                  <w:marBottom w:val="300"/>
                  <w:divBdr>
                    <w:top w:val="none" w:sz="0" w:space="0" w:color="auto"/>
                    <w:left w:val="none" w:sz="0" w:space="0" w:color="auto"/>
                    <w:bottom w:val="none" w:sz="0" w:space="0" w:color="auto"/>
                    <w:right w:val="none" w:sz="0" w:space="0" w:color="auto"/>
                  </w:divBdr>
                </w:div>
              </w:divsChild>
            </w:div>
            <w:div w:id="687949998">
              <w:marLeft w:val="0"/>
              <w:marRight w:val="0"/>
              <w:marTop w:val="0"/>
              <w:marBottom w:val="0"/>
              <w:divBdr>
                <w:top w:val="none" w:sz="0" w:space="0" w:color="auto"/>
                <w:left w:val="none" w:sz="0" w:space="0" w:color="auto"/>
                <w:bottom w:val="none" w:sz="0" w:space="0" w:color="auto"/>
                <w:right w:val="none" w:sz="0" w:space="0" w:color="auto"/>
              </w:divBdr>
            </w:div>
            <w:div w:id="1805349274">
              <w:marLeft w:val="0"/>
              <w:marRight w:val="0"/>
              <w:marTop w:val="0"/>
              <w:marBottom w:val="0"/>
              <w:divBdr>
                <w:top w:val="none" w:sz="0" w:space="0" w:color="auto"/>
                <w:left w:val="none" w:sz="0" w:space="0" w:color="auto"/>
                <w:bottom w:val="none" w:sz="0" w:space="0" w:color="auto"/>
                <w:right w:val="none" w:sz="0" w:space="0" w:color="auto"/>
              </w:divBdr>
            </w:div>
            <w:div w:id="1340615866">
              <w:marLeft w:val="0"/>
              <w:marRight w:val="0"/>
              <w:marTop w:val="0"/>
              <w:marBottom w:val="0"/>
              <w:divBdr>
                <w:top w:val="none" w:sz="0" w:space="0" w:color="auto"/>
                <w:left w:val="none" w:sz="0" w:space="0" w:color="auto"/>
                <w:bottom w:val="none" w:sz="0" w:space="0" w:color="auto"/>
                <w:right w:val="none" w:sz="0" w:space="0" w:color="auto"/>
              </w:divBdr>
            </w:div>
            <w:div w:id="2007783080">
              <w:marLeft w:val="0"/>
              <w:marRight w:val="0"/>
              <w:marTop w:val="0"/>
              <w:marBottom w:val="0"/>
              <w:divBdr>
                <w:top w:val="none" w:sz="0" w:space="0" w:color="auto"/>
                <w:left w:val="none" w:sz="0" w:space="0" w:color="auto"/>
                <w:bottom w:val="none" w:sz="0" w:space="0" w:color="auto"/>
                <w:right w:val="none" w:sz="0" w:space="0" w:color="auto"/>
              </w:divBdr>
            </w:div>
            <w:div w:id="2140217817">
              <w:marLeft w:val="0"/>
              <w:marRight w:val="0"/>
              <w:marTop w:val="0"/>
              <w:marBottom w:val="0"/>
              <w:divBdr>
                <w:top w:val="none" w:sz="0" w:space="0" w:color="auto"/>
                <w:left w:val="none" w:sz="0" w:space="0" w:color="auto"/>
                <w:bottom w:val="none" w:sz="0" w:space="0" w:color="auto"/>
                <w:right w:val="none" w:sz="0" w:space="0" w:color="auto"/>
              </w:divBdr>
            </w:div>
            <w:div w:id="145436773">
              <w:marLeft w:val="0"/>
              <w:marRight w:val="0"/>
              <w:marTop w:val="0"/>
              <w:marBottom w:val="0"/>
              <w:divBdr>
                <w:top w:val="none" w:sz="0" w:space="0" w:color="auto"/>
                <w:left w:val="none" w:sz="0" w:space="0" w:color="auto"/>
                <w:bottom w:val="none" w:sz="0" w:space="0" w:color="auto"/>
                <w:right w:val="none" w:sz="0" w:space="0" w:color="auto"/>
              </w:divBdr>
            </w:div>
            <w:div w:id="473764549">
              <w:marLeft w:val="0"/>
              <w:marRight w:val="0"/>
              <w:marTop w:val="0"/>
              <w:marBottom w:val="0"/>
              <w:divBdr>
                <w:top w:val="none" w:sz="0" w:space="0" w:color="auto"/>
                <w:left w:val="none" w:sz="0" w:space="0" w:color="auto"/>
                <w:bottom w:val="none" w:sz="0" w:space="0" w:color="auto"/>
                <w:right w:val="none" w:sz="0" w:space="0" w:color="auto"/>
              </w:divBdr>
            </w:div>
            <w:div w:id="2439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7702583/53f89421bbdaf741eb2d1ecc4ddb4c33/" TargetMode="External"/><Relationship Id="rId18" Type="http://schemas.openxmlformats.org/officeDocument/2006/relationships/hyperlink" Target="https://base.garant.ru/71830408/53f89421bbdaf741eb2d1ecc4ddb4c33/" TargetMode="External"/><Relationship Id="rId26" Type="http://schemas.openxmlformats.org/officeDocument/2006/relationships/hyperlink" Target="https://base.garant.ru/77660653/53f89421bbdaf741eb2d1ecc4ddb4c33/" TargetMode="External"/><Relationship Id="rId3" Type="http://schemas.openxmlformats.org/officeDocument/2006/relationships/webSettings" Target="webSettings.xml"/><Relationship Id="rId21" Type="http://schemas.openxmlformats.org/officeDocument/2006/relationships/hyperlink" Target="https://base.garant.ru/77660653/53f89421bbdaf741eb2d1ecc4ddb4c33/" TargetMode="External"/><Relationship Id="rId34" Type="http://schemas.openxmlformats.org/officeDocument/2006/relationships/hyperlink" Target="https://base.garant.ru/70291362/cfd6802f4ab1cd4e025322c20eb55836/" TargetMode="External"/><Relationship Id="rId7" Type="http://schemas.openxmlformats.org/officeDocument/2006/relationships/hyperlink" Target="https://base.garant.ru/74169405/" TargetMode="External"/><Relationship Id="rId12" Type="http://schemas.openxmlformats.org/officeDocument/2006/relationships/hyperlink" Target="https://base.garant.ru/74983011/53f89421bbdaf741eb2d1ecc4ddb4c33/" TargetMode="External"/><Relationship Id="rId17" Type="http://schemas.openxmlformats.org/officeDocument/2006/relationships/hyperlink" Target="https://base.garant.ru/77660653/53f89421bbdaf741eb2d1ecc4ddb4c33/" TargetMode="External"/><Relationship Id="rId25" Type="http://schemas.openxmlformats.org/officeDocument/2006/relationships/hyperlink" Target="https://base.garant.ru/71830408/53f89421bbdaf741eb2d1ecc4ddb4c33/" TargetMode="External"/><Relationship Id="rId33" Type="http://schemas.openxmlformats.org/officeDocument/2006/relationships/hyperlink" Target="https://base.garant.ru/58058607/53f89421bbdaf741eb2d1ecc4ddb4c33/" TargetMode="External"/><Relationship Id="rId2" Type="http://schemas.openxmlformats.org/officeDocument/2006/relationships/settings" Target="settings.xml"/><Relationship Id="rId16" Type="http://schemas.openxmlformats.org/officeDocument/2006/relationships/hyperlink" Target="https://base.garant.ru/71830408/53f89421bbdaf741eb2d1ecc4ddb4c33/" TargetMode="External"/><Relationship Id="rId20" Type="http://schemas.openxmlformats.org/officeDocument/2006/relationships/hyperlink" Target="https://base.garant.ru/71830408/53f89421bbdaf741eb2d1ecc4ddb4c33/" TargetMode="External"/><Relationship Id="rId29" Type="http://schemas.openxmlformats.org/officeDocument/2006/relationships/hyperlink" Target="https://base.garant.ru/74063036/" TargetMode="External"/><Relationship Id="rId1" Type="http://schemas.openxmlformats.org/officeDocument/2006/relationships/styles" Target="styles.xml"/><Relationship Id="rId6" Type="http://schemas.openxmlformats.org/officeDocument/2006/relationships/hyperlink" Target="https://base.garant.ru/74169405/53f89421bbdaf741eb2d1ecc4ddb4c33/" TargetMode="External"/><Relationship Id="rId11" Type="http://schemas.openxmlformats.org/officeDocument/2006/relationships/hyperlink" Target="https://base.garant.ru/77660653/53f89421bbdaf741eb2d1ecc4ddb4c33/" TargetMode="External"/><Relationship Id="rId24" Type="http://schemas.openxmlformats.org/officeDocument/2006/relationships/hyperlink" Target="https://base.garant.ru/71830408/53f89421bbdaf741eb2d1ecc4ddb4c33/" TargetMode="External"/><Relationship Id="rId32" Type="http://schemas.openxmlformats.org/officeDocument/2006/relationships/hyperlink" Target="https://base.garant.ru/70608808/53f89421bbdaf741eb2d1ecc4ddb4c33/" TargetMode="External"/><Relationship Id="rId5" Type="http://schemas.openxmlformats.org/officeDocument/2006/relationships/hyperlink" Target="https://base.garant.ru/74169405/53f89421bbdaf741eb2d1ecc4ddb4c33/" TargetMode="External"/><Relationship Id="rId15" Type="http://schemas.openxmlformats.org/officeDocument/2006/relationships/hyperlink" Target="https://base.garant.ru/77660653/53f89421bbdaf741eb2d1ecc4ddb4c33/" TargetMode="External"/><Relationship Id="rId23" Type="http://schemas.openxmlformats.org/officeDocument/2006/relationships/hyperlink" Target="https://base.garant.ru/58058607/53f89421bbdaf741eb2d1ecc4ddb4c33/" TargetMode="External"/><Relationship Id="rId28" Type="http://schemas.openxmlformats.org/officeDocument/2006/relationships/hyperlink" Target="https://base.garant.ru/74063036/53f89421bbdaf741eb2d1ecc4ddb4c33/" TargetMode="External"/><Relationship Id="rId36" Type="http://schemas.openxmlformats.org/officeDocument/2006/relationships/theme" Target="theme/theme1.xml"/><Relationship Id="rId10" Type="http://schemas.openxmlformats.org/officeDocument/2006/relationships/hyperlink" Target="https://base.garant.ru/71830408/53f89421bbdaf741eb2d1ecc4ddb4c33/" TargetMode="External"/><Relationship Id="rId19" Type="http://schemas.openxmlformats.org/officeDocument/2006/relationships/hyperlink" Target="https://base.garant.ru/77660653/53f89421bbdaf741eb2d1ecc4ddb4c33/" TargetMode="External"/><Relationship Id="rId31" Type="http://schemas.openxmlformats.org/officeDocument/2006/relationships/hyperlink" Target="https://base.garant.ru/71830408/53f89421bbdaf741eb2d1ecc4ddb4c33/" TargetMode="External"/><Relationship Id="rId4" Type="http://schemas.openxmlformats.org/officeDocument/2006/relationships/hyperlink" Target="https://base.garant.ru/70500084/" TargetMode="External"/><Relationship Id="rId9" Type="http://schemas.openxmlformats.org/officeDocument/2006/relationships/hyperlink" Target="https://base.garant.ru/71176382/" TargetMode="External"/><Relationship Id="rId14" Type="http://schemas.openxmlformats.org/officeDocument/2006/relationships/hyperlink" Target="https://base.garant.ru/71830408/53f89421bbdaf741eb2d1ecc4ddb4c33/" TargetMode="External"/><Relationship Id="rId22" Type="http://schemas.openxmlformats.org/officeDocument/2006/relationships/hyperlink" Target="https://base.garant.ru/70608808/53f89421bbdaf741eb2d1ecc4ddb4c33/" TargetMode="External"/><Relationship Id="rId27" Type="http://schemas.openxmlformats.org/officeDocument/2006/relationships/hyperlink" Target="https://base.garant.ru/71830408/53f89421bbdaf741eb2d1ecc4ddb4c33/" TargetMode="External"/><Relationship Id="rId30" Type="http://schemas.openxmlformats.org/officeDocument/2006/relationships/hyperlink" Target="https://base.garant.ru/70500084/53f89421bbdaf741eb2d1ecc4ddb4c33/" TargetMode="External"/><Relationship Id="rId35" Type="http://schemas.openxmlformats.org/officeDocument/2006/relationships/fontTable" Target="fontTable.xml"/><Relationship Id="rId8" Type="http://schemas.openxmlformats.org/officeDocument/2006/relationships/hyperlink" Target="https://base.garant.ru/573689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4309</Words>
  <Characters>24564</Characters>
  <Application>Microsoft Office Word</Application>
  <DocSecurity>0</DocSecurity>
  <Lines>204</Lines>
  <Paragraphs>57</Paragraphs>
  <ScaleCrop>false</ScaleCrop>
  <Company/>
  <LinksUpToDate>false</LinksUpToDate>
  <CharactersWithSpaces>28816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Ельцова Людмила</dc:creator>
  <cp:keywords/>
  <dc:description/>
  <cp:lastModifiedBy>Ельцова Людмила</cp:lastModifiedBy>
  <cp:revision>1</cp:revision>
  <dcterms:created xsi:type="dcterms:W3CDTF">2021-11-29T11:25:00Z</dcterms:created>
  <dcterms:modified xsi:type="dcterms:W3CDTF">2021-11-29T11:26:00Z</dcterms:modified>
</cp:coreProperties>
</file>